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256"/>
        <w:gridCol w:w="4380"/>
        <w:gridCol w:w="6253"/>
      </w:tblGrid>
      <w:tr w:rsidR="0091090A" w14:paraId="133F18C4" w14:textId="77777777" w:rsidTr="00DA12AE">
        <w:trPr>
          <w:trHeight w:val="285"/>
        </w:trPr>
        <w:tc>
          <w:tcPr>
            <w:tcW w:w="3256" w:type="dxa"/>
            <w:vAlign w:val="center"/>
          </w:tcPr>
          <w:p w14:paraId="4E510659" w14:textId="765EF592" w:rsidR="00E24A49" w:rsidRDefault="00E24A49" w:rsidP="00E24A49">
            <w:pPr>
              <w:jc w:val="center"/>
            </w:pPr>
            <w:r>
              <w:t>Picture</w:t>
            </w:r>
          </w:p>
        </w:tc>
        <w:tc>
          <w:tcPr>
            <w:tcW w:w="4380" w:type="dxa"/>
            <w:vAlign w:val="center"/>
          </w:tcPr>
          <w:p w14:paraId="156D75ED" w14:textId="67F4C696" w:rsidR="00E24A49" w:rsidRDefault="00E24A49" w:rsidP="00E24A49">
            <w:pPr>
              <w:jc w:val="center"/>
            </w:pPr>
            <w:r>
              <w:t>Name</w:t>
            </w:r>
          </w:p>
        </w:tc>
        <w:tc>
          <w:tcPr>
            <w:tcW w:w="6253" w:type="dxa"/>
            <w:vAlign w:val="center"/>
          </w:tcPr>
          <w:p w14:paraId="2351C6A9" w14:textId="28CE6E94" w:rsidR="00E24A49" w:rsidRDefault="00E24A49" w:rsidP="00E24A49">
            <w:pPr>
              <w:jc w:val="center"/>
            </w:pPr>
            <w:r>
              <w:t>Details</w:t>
            </w:r>
          </w:p>
        </w:tc>
      </w:tr>
      <w:tr w:rsidR="0091090A" w14:paraId="1B88B9EA" w14:textId="77777777" w:rsidTr="00615700">
        <w:trPr>
          <w:trHeight w:val="2324"/>
        </w:trPr>
        <w:tc>
          <w:tcPr>
            <w:tcW w:w="3256" w:type="dxa"/>
            <w:vAlign w:val="center"/>
          </w:tcPr>
          <w:p w14:paraId="2E934462" w14:textId="2D628819" w:rsidR="00E24A49" w:rsidRDefault="009A13DB" w:rsidP="00E24A49">
            <w:pPr>
              <w:jc w:val="center"/>
            </w:pPr>
            <w:r>
              <w:rPr>
                <w:noProof/>
              </w:rPr>
              <w:drawing>
                <wp:inline distT="0" distB="0" distL="0" distR="0" wp14:anchorId="380BF455" wp14:editId="7D9AED63">
                  <wp:extent cx="1080000" cy="1080000"/>
                  <wp:effectExtent l="0" t="0" r="6350" b="6350"/>
                  <wp:docPr id="185181601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5E7BDB21" w14:textId="77777777" w:rsidR="00E24A49" w:rsidRPr="00DA12AE" w:rsidRDefault="00E24A49" w:rsidP="00E24A49">
            <w:pPr>
              <w:jc w:val="center"/>
              <w:rPr>
                <w:rFonts w:ascii="Calibri" w:hAnsi="Calibri" w:cs="Calibri"/>
                <w:sz w:val="22"/>
                <w:szCs w:val="28"/>
              </w:rPr>
            </w:pPr>
            <w:proofErr w:type="gramStart"/>
            <w:r w:rsidRPr="00DA12AE">
              <w:rPr>
                <w:rFonts w:ascii="Calibri" w:hAnsi="Calibri" w:cs="Calibri"/>
                <w:sz w:val="22"/>
                <w:szCs w:val="28"/>
              </w:rPr>
              <w:t>Main :</w:t>
            </w:r>
            <w:proofErr w:type="gramEnd"/>
          </w:p>
          <w:p w14:paraId="6AED64A8" w14:textId="77777777" w:rsidR="00E24A49" w:rsidRPr="00DA12AE" w:rsidRDefault="00E24A49" w:rsidP="00E24A49">
            <w:pPr>
              <w:jc w:val="center"/>
              <w:rPr>
                <w:rFonts w:ascii="Calibri" w:hAnsi="Calibri" w:cs="Calibri"/>
                <w:sz w:val="22"/>
                <w:szCs w:val="28"/>
              </w:rPr>
            </w:pPr>
          </w:p>
          <w:p w14:paraId="62B34156" w14:textId="405E054D" w:rsidR="00E24A49" w:rsidRPr="00DA12AE" w:rsidRDefault="009A13DB" w:rsidP="00615700">
            <w:pPr>
              <w:jc w:val="center"/>
              <w:rPr>
                <w:rFonts w:ascii="Calibri" w:hAnsi="Calibri" w:cs="Calibri"/>
                <w:sz w:val="22"/>
                <w:szCs w:val="28"/>
              </w:rPr>
            </w:pPr>
            <w:r>
              <w:rPr>
                <w:rFonts w:ascii="Calibri" w:hAnsi="Calibri" w:cs="Calibri"/>
                <w:sz w:val="22"/>
                <w:szCs w:val="28"/>
              </w:rPr>
              <w:t xml:space="preserve">OFFBOARDING </w:t>
            </w:r>
            <w:r w:rsidR="00594BE2">
              <w:rPr>
                <w:rFonts w:ascii="Calibri" w:hAnsi="Calibri" w:cs="Calibri"/>
                <w:sz w:val="22"/>
                <w:szCs w:val="28"/>
              </w:rPr>
              <w:t xml:space="preserve">MANAGEMENT </w:t>
            </w:r>
            <w:r w:rsidR="00066182">
              <w:rPr>
                <w:rFonts w:ascii="Calibri" w:hAnsi="Calibri" w:cs="Calibri"/>
                <w:sz w:val="22"/>
                <w:szCs w:val="28"/>
              </w:rPr>
              <w:t>MODULE</w:t>
            </w:r>
          </w:p>
        </w:tc>
        <w:tc>
          <w:tcPr>
            <w:tcW w:w="6253" w:type="dxa"/>
            <w:vAlign w:val="center"/>
          </w:tcPr>
          <w:p w14:paraId="11DE6300" w14:textId="5D6FA12F" w:rsidR="00E24A49" w:rsidRPr="00DA12AE" w:rsidRDefault="00676F01" w:rsidP="00E24A49">
            <w:pPr>
              <w:jc w:val="center"/>
              <w:rPr>
                <w:rFonts w:ascii="Calibri" w:hAnsi="Calibri" w:cs="Calibri"/>
                <w:sz w:val="22"/>
                <w:szCs w:val="28"/>
              </w:rPr>
            </w:pPr>
            <w:r w:rsidRPr="00676F01">
              <w:rPr>
                <w:rFonts w:ascii="Calibri" w:hAnsi="Calibri" w:cs="Calibri"/>
                <w:sz w:val="22"/>
                <w:szCs w:val="28"/>
              </w:rPr>
              <w:t xml:space="preserve">Manages structured employee exit processes including resignation, clearance, final settlement, records updates, and access control, ensuring compliance, accurate documentation, smooth transitions, and risk mitigation while maintaining data integrity and governance throughout the employee separation lifecycle </w:t>
            </w:r>
            <w:proofErr w:type="spellStart"/>
            <w:r w:rsidRPr="00676F01">
              <w:rPr>
                <w:rFonts w:ascii="Calibri" w:hAnsi="Calibri" w:cs="Calibri"/>
                <w:sz w:val="22"/>
                <w:szCs w:val="28"/>
              </w:rPr>
              <w:t>organizationwide</w:t>
            </w:r>
            <w:proofErr w:type="spellEnd"/>
            <w:r w:rsidRPr="00676F01">
              <w:rPr>
                <w:rFonts w:ascii="Calibri" w:hAnsi="Calibri" w:cs="Calibri"/>
                <w:sz w:val="22"/>
                <w:szCs w:val="28"/>
              </w:rPr>
              <w:t>.</w:t>
            </w:r>
          </w:p>
        </w:tc>
      </w:tr>
      <w:tr w:rsidR="009A13DB" w14:paraId="3ABFFB04" w14:textId="77777777" w:rsidTr="00615700">
        <w:trPr>
          <w:trHeight w:val="2324"/>
        </w:trPr>
        <w:tc>
          <w:tcPr>
            <w:tcW w:w="3256" w:type="dxa"/>
            <w:vAlign w:val="center"/>
          </w:tcPr>
          <w:p w14:paraId="1A723749" w14:textId="673CA68C" w:rsidR="009A13DB" w:rsidRDefault="009A13DB" w:rsidP="00E24A49">
            <w:pPr>
              <w:jc w:val="center"/>
              <w:rPr>
                <w:noProof/>
              </w:rPr>
            </w:pPr>
            <w:r>
              <w:rPr>
                <w:noProof/>
              </w:rPr>
              <w:drawing>
                <wp:inline distT="0" distB="0" distL="0" distR="0" wp14:anchorId="1CCE417F" wp14:editId="30385ED5">
                  <wp:extent cx="1080000" cy="1080000"/>
                  <wp:effectExtent l="0" t="0" r="6350" b="6350"/>
                  <wp:docPr id="99370991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2ABFA537" w14:textId="44B058D6" w:rsidR="009A13DB" w:rsidRPr="00DA12AE" w:rsidRDefault="009A13DB" w:rsidP="00E24A49">
            <w:pPr>
              <w:jc w:val="center"/>
              <w:rPr>
                <w:rFonts w:ascii="Calibri" w:hAnsi="Calibri" w:cs="Calibri"/>
                <w:sz w:val="22"/>
                <w:szCs w:val="28"/>
              </w:rPr>
            </w:pPr>
            <w:r>
              <w:rPr>
                <w:rFonts w:ascii="Calibri" w:hAnsi="Calibri" w:cs="Calibri"/>
                <w:sz w:val="22"/>
                <w:szCs w:val="28"/>
              </w:rPr>
              <w:t>EMPLOYEE EXIT MANAGEMENT</w:t>
            </w:r>
          </w:p>
        </w:tc>
        <w:tc>
          <w:tcPr>
            <w:tcW w:w="6253" w:type="dxa"/>
            <w:vAlign w:val="center"/>
          </w:tcPr>
          <w:p w14:paraId="15320394" w14:textId="12F24BD5" w:rsidR="009A13DB" w:rsidRPr="00DA12AE" w:rsidRDefault="00676F01" w:rsidP="00E24A49">
            <w:pPr>
              <w:jc w:val="center"/>
              <w:rPr>
                <w:rFonts w:ascii="Calibri" w:hAnsi="Calibri" w:cs="Calibri"/>
                <w:sz w:val="22"/>
                <w:szCs w:val="28"/>
              </w:rPr>
            </w:pPr>
            <w:r w:rsidRPr="00676F01">
              <w:rPr>
                <w:rFonts w:ascii="Calibri" w:hAnsi="Calibri" w:cs="Calibri"/>
                <w:sz w:val="22"/>
                <w:szCs w:val="28"/>
              </w:rPr>
              <w:t>Manages employee exit activities including notice handling, clearance tasks, asset return, access revocation, and exit checklists, ensuring orderly separation, policy compliance, reduced operational risk, and proper handover across departments, locations, and organizational functions.</w:t>
            </w:r>
          </w:p>
        </w:tc>
      </w:tr>
      <w:tr w:rsidR="009A13DB" w14:paraId="53558DE8" w14:textId="77777777" w:rsidTr="00615700">
        <w:trPr>
          <w:trHeight w:val="2324"/>
        </w:trPr>
        <w:tc>
          <w:tcPr>
            <w:tcW w:w="3256" w:type="dxa"/>
            <w:vAlign w:val="center"/>
          </w:tcPr>
          <w:p w14:paraId="2E84F345" w14:textId="229DDCF3" w:rsidR="009A13DB" w:rsidRDefault="009A13DB" w:rsidP="00E24A49">
            <w:pPr>
              <w:jc w:val="center"/>
              <w:rPr>
                <w:noProof/>
              </w:rPr>
            </w:pPr>
            <w:r>
              <w:rPr>
                <w:noProof/>
              </w:rPr>
              <w:drawing>
                <wp:inline distT="0" distB="0" distL="0" distR="0" wp14:anchorId="1D322C39" wp14:editId="064F6DEA">
                  <wp:extent cx="1080000" cy="1080000"/>
                  <wp:effectExtent l="0" t="0" r="6350" b="6350"/>
                  <wp:docPr id="122398245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3D755B35" w14:textId="3815C494" w:rsidR="009A13DB" w:rsidRPr="00DA12AE" w:rsidRDefault="009A13DB" w:rsidP="00E24A49">
            <w:pPr>
              <w:jc w:val="center"/>
              <w:rPr>
                <w:rFonts w:ascii="Calibri" w:hAnsi="Calibri" w:cs="Calibri"/>
                <w:sz w:val="22"/>
                <w:szCs w:val="28"/>
              </w:rPr>
            </w:pPr>
            <w:r>
              <w:rPr>
                <w:rFonts w:ascii="Calibri" w:hAnsi="Calibri" w:cs="Calibri"/>
                <w:sz w:val="22"/>
                <w:szCs w:val="28"/>
              </w:rPr>
              <w:t>FINAL SETTLEMENT MANAGEMENT</w:t>
            </w:r>
          </w:p>
        </w:tc>
        <w:tc>
          <w:tcPr>
            <w:tcW w:w="6253" w:type="dxa"/>
            <w:vAlign w:val="center"/>
          </w:tcPr>
          <w:p w14:paraId="5A38E27C" w14:textId="7AD0233F" w:rsidR="009A13DB" w:rsidRPr="00DA12AE" w:rsidRDefault="00676F01" w:rsidP="00E24A49">
            <w:pPr>
              <w:jc w:val="center"/>
              <w:rPr>
                <w:rFonts w:ascii="Calibri" w:hAnsi="Calibri" w:cs="Calibri"/>
                <w:sz w:val="22"/>
                <w:szCs w:val="28"/>
              </w:rPr>
            </w:pPr>
            <w:r w:rsidRPr="00676F01">
              <w:rPr>
                <w:rFonts w:ascii="Calibri" w:hAnsi="Calibri" w:cs="Calibri"/>
                <w:sz w:val="22"/>
                <w:szCs w:val="28"/>
              </w:rPr>
              <w:t>Manages final salary calculations including unpaid wages, leave encashment, deductions, and statutory contributions, ensuring accurate, compliant, and timely settlements while maintaining transparent records for audit, payroll, and regulatory requirements.</w:t>
            </w:r>
          </w:p>
        </w:tc>
      </w:tr>
      <w:tr w:rsidR="009A13DB" w14:paraId="4B34A63D" w14:textId="77777777" w:rsidTr="00615700">
        <w:trPr>
          <w:trHeight w:val="2324"/>
        </w:trPr>
        <w:tc>
          <w:tcPr>
            <w:tcW w:w="3256" w:type="dxa"/>
            <w:vAlign w:val="center"/>
          </w:tcPr>
          <w:p w14:paraId="5DC6F1A5" w14:textId="185930C6" w:rsidR="009A13DB" w:rsidRDefault="009A13DB" w:rsidP="00E24A49">
            <w:pPr>
              <w:jc w:val="center"/>
              <w:rPr>
                <w:noProof/>
              </w:rPr>
            </w:pPr>
            <w:r>
              <w:rPr>
                <w:noProof/>
              </w:rPr>
              <w:lastRenderedPageBreak/>
              <w:drawing>
                <wp:inline distT="0" distB="0" distL="0" distR="0" wp14:anchorId="30B0ED61" wp14:editId="0C2BC5C9">
                  <wp:extent cx="1080000" cy="1080000"/>
                  <wp:effectExtent l="0" t="0" r="6350" b="6350"/>
                  <wp:docPr id="10196568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34312A26" w14:textId="2F70A51F" w:rsidR="009A13DB" w:rsidRPr="00DA12AE" w:rsidRDefault="009A13DB" w:rsidP="00E24A49">
            <w:pPr>
              <w:jc w:val="center"/>
              <w:rPr>
                <w:rFonts w:ascii="Calibri" w:hAnsi="Calibri" w:cs="Calibri"/>
                <w:sz w:val="22"/>
                <w:szCs w:val="28"/>
              </w:rPr>
            </w:pPr>
            <w:r>
              <w:rPr>
                <w:rFonts w:ascii="Calibri" w:hAnsi="Calibri" w:cs="Calibri"/>
                <w:sz w:val="22"/>
                <w:szCs w:val="28"/>
              </w:rPr>
              <w:t>OFFBOARDING STATUS RECORD DATA BASED</w:t>
            </w:r>
          </w:p>
        </w:tc>
        <w:tc>
          <w:tcPr>
            <w:tcW w:w="6253" w:type="dxa"/>
            <w:vAlign w:val="center"/>
          </w:tcPr>
          <w:p w14:paraId="5D2ABA29" w14:textId="1967D278" w:rsidR="009A13DB" w:rsidRPr="00DA12AE" w:rsidRDefault="00676F01" w:rsidP="00E24A49">
            <w:pPr>
              <w:jc w:val="center"/>
              <w:rPr>
                <w:rFonts w:ascii="Calibri" w:hAnsi="Calibri" w:cs="Calibri"/>
                <w:sz w:val="22"/>
                <w:szCs w:val="28"/>
              </w:rPr>
            </w:pPr>
            <w:r w:rsidRPr="00676F01">
              <w:rPr>
                <w:rFonts w:ascii="Calibri" w:hAnsi="Calibri" w:cs="Calibri"/>
                <w:sz w:val="22"/>
                <w:szCs w:val="28"/>
              </w:rPr>
              <w:t>Maintains a centralized database tracking offboarding progress, approvals, clearance status, and completion records, providing visibility, audit trails, and accurate historical data to support compliance, reporting, and workforce analytics.</w:t>
            </w:r>
          </w:p>
        </w:tc>
      </w:tr>
      <w:tr w:rsidR="009A13DB" w14:paraId="008C03F7" w14:textId="77777777" w:rsidTr="00615700">
        <w:trPr>
          <w:trHeight w:val="2324"/>
        </w:trPr>
        <w:tc>
          <w:tcPr>
            <w:tcW w:w="3256" w:type="dxa"/>
            <w:vAlign w:val="center"/>
          </w:tcPr>
          <w:p w14:paraId="49D4E2DD" w14:textId="2C246124" w:rsidR="009A13DB" w:rsidRDefault="009A13DB" w:rsidP="00E24A49">
            <w:pPr>
              <w:jc w:val="center"/>
              <w:rPr>
                <w:noProof/>
              </w:rPr>
            </w:pPr>
            <w:r>
              <w:rPr>
                <w:noProof/>
              </w:rPr>
              <w:drawing>
                <wp:inline distT="0" distB="0" distL="0" distR="0" wp14:anchorId="0AAF6A9D" wp14:editId="06B94229">
                  <wp:extent cx="1080000" cy="1080000"/>
                  <wp:effectExtent l="0" t="0" r="6350" b="6350"/>
                  <wp:docPr id="41678785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07100730" w14:textId="100935F9" w:rsidR="009A13DB" w:rsidRPr="00DA12AE" w:rsidRDefault="009A13DB" w:rsidP="00E24A49">
            <w:pPr>
              <w:jc w:val="center"/>
              <w:rPr>
                <w:rFonts w:ascii="Calibri" w:hAnsi="Calibri" w:cs="Calibri"/>
                <w:sz w:val="22"/>
                <w:szCs w:val="28"/>
              </w:rPr>
            </w:pPr>
            <w:r>
              <w:rPr>
                <w:rFonts w:ascii="Calibri" w:hAnsi="Calibri" w:cs="Calibri"/>
                <w:sz w:val="22"/>
                <w:szCs w:val="28"/>
              </w:rPr>
              <w:t>STAFF RESIGNATION PROCESS MANAGEMENT</w:t>
            </w:r>
          </w:p>
        </w:tc>
        <w:tc>
          <w:tcPr>
            <w:tcW w:w="6253" w:type="dxa"/>
            <w:vAlign w:val="center"/>
          </w:tcPr>
          <w:p w14:paraId="0CF07A2F" w14:textId="4C8A10D5" w:rsidR="009A13DB" w:rsidRPr="00DA12AE" w:rsidRDefault="00676F01" w:rsidP="00E24A49">
            <w:pPr>
              <w:jc w:val="center"/>
              <w:rPr>
                <w:rFonts w:ascii="Calibri" w:hAnsi="Calibri" w:cs="Calibri"/>
                <w:sz w:val="22"/>
                <w:szCs w:val="28"/>
              </w:rPr>
            </w:pPr>
            <w:r w:rsidRPr="00676F01">
              <w:rPr>
                <w:rFonts w:ascii="Calibri" w:hAnsi="Calibri" w:cs="Calibri"/>
                <w:sz w:val="22"/>
                <w:szCs w:val="28"/>
              </w:rPr>
              <w:t>Manages staff resignation submissions, approvals, notice periods, and effective dates through structured workflows, ensuring clarity, documentation, and compliance while enabling smooth coordination between employees, managers, HR, payroll, and relevant departments.</w:t>
            </w:r>
          </w:p>
        </w:tc>
      </w:tr>
      <w:tr w:rsidR="00676F01" w14:paraId="4D793D85" w14:textId="77777777" w:rsidTr="00615700">
        <w:trPr>
          <w:trHeight w:val="2324"/>
        </w:trPr>
        <w:tc>
          <w:tcPr>
            <w:tcW w:w="3256" w:type="dxa"/>
            <w:vAlign w:val="center"/>
          </w:tcPr>
          <w:p w14:paraId="1F18AF60" w14:textId="4AC9E61D" w:rsidR="00676F01" w:rsidRDefault="008E568D" w:rsidP="00E24A49">
            <w:pPr>
              <w:jc w:val="center"/>
              <w:rPr>
                <w:noProof/>
              </w:rPr>
            </w:pPr>
            <w:r>
              <w:rPr>
                <w:rFonts w:ascii="Calibri" w:hAnsi="Calibri" w:cs="Calibri"/>
                <w:noProof/>
                <w:sz w:val="22"/>
                <w:szCs w:val="28"/>
              </w:rPr>
              <w:drawing>
                <wp:inline distT="0" distB="0" distL="0" distR="0" wp14:anchorId="3E8DBF2D" wp14:editId="348CCF26">
                  <wp:extent cx="1080000" cy="1080000"/>
                  <wp:effectExtent l="0" t="0" r="6350" b="6350"/>
                  <wp:docPr id="44822827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110CA8AE" w14:textId="127721F7" w:rsidR="00676F01" w:rsidRDefault="00676F01" w:rsidP="00E24A49">
            <w:pPr>
              <w:jc w:val="center"/>
              <w:rPr>
                <w:rFonts w:ascii="Calibri" w:hAnsi="Calibri" w:cs="Calibri"/>
                <w:sz w:val="22"/>
                <w:szCs w:val="28"/>
              </w:rPr>
            </w:pPr>
            <w:r>
              <w:rPr>
                <w:rFonts w:ascii="Calibri" w:hAnsi="Calibri" w:cs="Calibri"/>
                <w:sz w:val="22"/>
                <w:szCs w:val="28"/>
              </w:rPr>
              <w:t>EXIT INTERVIEW MANAGEMENT</w:t>
            </w:r>
          </w:p>
        </w:tc>
        <w:tc>
          <w:tcPr>
            <w:tcW w:w="6253" w:type="dxa"/>
            <w:vAlign w:val="center"/>
          </w:tcPr>
          <w:p w14:paraId="2DAFD488" w14:textId="0CE6953B" w:rsidR="00676F01" w:rsidRPr="00676F01" w:rsidRDefault="00676F01" w:rsidP="00E24A49">
            <w:pPr>
              <w:jc w:val="center"/>
              <w:rPr>
                <w:rFonts w:ascii="Calibri" w:hAnsi="Calibri" w:cs="Calibri"/>
                <w:sz w:val="22"/>
                <w:szCs w:val="28"/>
              </w:rPr>
            </w:pPr>
            <w:r w:rsidRPr="00676F01">
              <w:rPr>
                <w:rFonts w:ascii="Calibri" w:hAnsi="Calibri" w:cs="Calibri"/>
                <w:sz w:val="22"/>
                <w:szCs w:val="28"/>
              </w:rPr>
              <w:t xml:space="preserve">Manages structured exit interviews by capturing resignation reasons, feedback, and insights through standardized forms, enabling HR to </w:t>
            </w:r>
            <w:proofErr w:type="spellStart"/>
            <w:r w:rsidRPr="00676F01">
              <w:rPr>
                <w:rFonts w:ascii="Calibri" w:hAnsi="Calibri" w:cs="Calibri"/>
                <w:sz w:val="22"/>
                <w:szCs w:val="28"/>
              </w:rPr>
              <w:t>analyze</w:t>
            </w:r>
            <w:proofErr w:type="spellEnd"/>
            <w:r w:rsidRPr="00676F01">
              <w:rPr>
                <w:rFonts w:ascii="Calibri" w:hAnsi="Calibri" w:cs="Calibri"/>
                <w:sz w:val="22"/>
                <w:szCs w:val="28"/>
              </w:rPr>
              <w:t xml:space="preserve"> attrition trends, identify improvement areas, enhance employee retention strategies, and support data-driven workforce planning decisions </w:t>
            </w:r>
            <w:proofErr w:type="spellStart"/>
            <w:r w:rsidRPr="00676F01">
              <w:rPr>
                <w:rFonts w:ascii="Calibri" w:hAnsi="Calibri" w:cs="Calibri"/>
                <w:sz w:val="22"/>
                <w:szCs w:val="28"/>
              </w:rPr>
              <w:t>organizationwide</w:t>
            </w:r>
            <w:proofErr w:type="spellEnd"/>
            <w:r w:rsidRPr="00676F01">
              <w:rPr>
                <w:rFonts w:ascii="Calibri" w:hAnsi="Calibri" w:cs="Calibri"/>
                <w:sz w:val="22"/>
                <w:szCs w:val="28"/>
              </w:rPr>
              <w:t>.</w:t>
            </w:r>
          </w:p>
        </w:tc>
      </w:tr>
      <w:tr w:rsidR="00676F01" w14:paraId="7FAFF0A4" w14:textId="77777777" w:rsidTr="00615700">
        <w:trPr>
          <w:trHeight w:val="2324"/>
        </w:trPr>
        <w:tc>
          <w:tcPr>
            <w:tcW w:w="3256" w:type="dxa"/>
            <w:vAlign w:val="center"/>
          </w:tcPr>
          <w:p w14:paraId="3F3A0889" w14:textId="51A81DCA" w:rsidR="00676F01" w:rsidRDefault="008E568D" w:rsidP="00E24A49">
            <w:pPr>
              <w:jc w:val="center"/>
              <w:rPr>
                <w:noProof/>
              </w:rPr>
            </w:pPr>
            <w:r>
              <w:rPr>
                <w:rFonts w:ascii="Calibri" w:hAnsi="Calibri" w:cs="Calibri"/>
                <w:noProof/>
                <w:sz w:val="22"/>
                <w:szCs w:val="28"/>
              </w:rPr>
              <w:lastRenderedPageBreak/>
              <w:drawing>
                <wp:inline distT="0" distB="0" distL="0" distR="0" wp14:anchorId="398BB243" wp14:editId="7AB95F60">
                  <wp:extent cx="1080000" cy="1080000"/>
                  <wp:effectExtent l="0" t="0" r="6350" b="6350"/>
                  <wp:docPr id="7212924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306634DB" w14:textId="4B479FDC" w:rsidR="00676F01" w:rsidRDefault="00676F01" w:rsidP="00E24A49">
            <w:pPr>
              <w:jc w:val="center"/>
              <w:rPr>
                <w:rFonts w:ascii="Calibri" w:hAnsi="Calibri" w:cs="Calibri"/>
                <w:sz w:val="22"/>
                <w:szCs w:val="28"/>
              </w:rPr>
            </w:pPr>
            <w:r>
              <w:rPr>
                <w:rFonts w:ascii="Calibri" w:hAnsi="Calibri" w:cs="Calibri"/>
                <w:sz w:val="22"/>
                <w:szCs w:val="28"/>
              </w:rPr>
              <w:t>ASSET CLEARANCE &amp; RECOVERY TRACKING</w:t>
            </w:r>
          </w:p>
        </w:tc>
        <w:tc>
          <w:tcPr>
            <w:tcW w:w="6253" w:type="dxa"/>
            <w:vAlign w:val="center"/>
          </w:tcPr>
          <w:p w14:paraId="5C067B2A" w14:textId="66A7E366" w:rsidR="00676F01" w:rsidRPr="00676F01" w:rsidRDefault="00676F01" w:rsidP="00E24A49">
            <w:pPr>
              <w:jc w:val="center"/>
              <w:rPr>
                <w:rFonts w:ascii="Calibri" w:hAnsi="Calibri" w:cs="Calibri"/>
                <w:sz w:val="22"/>
                <w:szCs w:val="28"/>
              </w:rPr>
            </w:pPr>
            <w:r w:rsidRPr="00676F01">
              <w:rPr>
                <w:rFonts w:ascii="Calibri" w:hAnsi="Calibri" w:cs="Calibri"/>
                <w:sz w:val="22"/>
                <w:szCs w:val="28"/>
              </w:rPr>
              <w:t>Tracks return and clearance of company assets including laptops, access cards, equipment, documents, and vehicles, ensuring accountability, reduced asset loss, proper handover confirmation, and completion records before final settlement and employee separation completion.</w:t>
            </w:r>
          </w:p>
        </w:tc>
      </w:tr>
      <w:tr w:rsidR="00676F01" w14:paraId="2F9BDE2D" w14:textId="77777777" w:rsidTr="00615700">
        <w:trPr>
          <w:trHeight w:val="2324"/>
        </w:trPr>
        <w:tc>
          <w:tcPr>
            <w:tcW w:w="3256" w:type="dxa"/>
            <w:vAlign w:val="center"/>
          </w:tcPr>
          <w:p w14:paraId="07E1BB66" w14:textId="3203E706" w:rsidR="00676F01" w:rsidRDefault="008E568D" w:rsidP="00E24A49">
            <w:pPr>
              <w:jc w:val="center"/>
              <w:rPr>
                <w:noProof/>
              </w:rPr>
            </w:pPr>
            <w:r>
              <w:rPr>
                <w:rFonts w:ascii="Calibri" w:hAnsi="Calibri" w:cs="Calibri"/>
                <w:noProof/>
                <w:sz w:val="22"/>
                <w:szCs w:val="28"/>
              </w:rPr>
              <w:drawing>
                <wp:inline distT="0" distB="0" distL="0" distR="0" wp14:anchorId="7608B06B" wp14:editId="0C67872C">
                  <wp:extent cx="1080000" cy="1080000"/>
                  <wp:effectExtent l="0" t="0" r="6350" b="6350"/>
                  <wp:docPr id="117875190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79DEE3BC" w14:textId="28544011" w:rsidR="00676F01" w:rsidRDefault="008E568D" w:rsidP="00E24A49">
            <w:pPr>
              <w:jc w:val="center"/>
              <w:rPr>
                <w:rFonts w:ascii="Calibri" w:hAnsi="Calibri" w:cs="Calibri"/>
                <w:sz w:val="22"/>
                <w:szCs w:val="28"/>
              </w:rPr>
            </w:pPr>
            <w:r>
              <w:rPr>
                <w:rFonts w:ascii="Calibri" w:hAnsi="Calibri" w:cs="Calibri"/>
                <w:sz w:val="22"/>
                <w:szCs w:val="28"/>
              </w:rPr>
              <w:t xml:space="preserve">EXIT CHECKLIST </w:t>
            </w:r>
            <w:r w:rsidR="00676F01">
              <w:rPr>
                <w:rFonts w:ascii="Calibri" w:hAnsi="Calibri" w:cs="Calibri"/>
                <w:sz w:val="22"/>
                <w:szCs w:val="28"/>
              </w:rPr>
              <w:t>&amp; DEPARTMENTAL CLEARANCE</w:t>
            </w:r>
          </w:p>
        </w:tc>
        <w:tc>
          <w:tcPr>
            <w:tcW w:w="6253" w:type="dxa"/>
            <w:vAlign w:val="center"/>
          </w:tcPr>
          <w:p w14:paraId="76D39F86" w14:textId="471481E0" w:rsidR="00676F01" w:rsidRPr="00676F01" w:rsidRDefault="00676F01" w:rsidP="00E24A49">
            <w:pPr>
              <w:jc w:val="center"/>
              <w:rPr>
                <w:rFonts w:ascii="Calibri" w:hAnsi="Calibri" w:cs="Calibri"/>
                <w:sz w:val="22"/>
                <w:szCs w:val="28"/>
              </w:rPr>
            </w:pPr>
            <w:r w:rsidRPr="00676F01">
              <w:rPr>
                <w:rFonts w:ascii="Calibri" w:hAnsi="Calibri" w:cs="Calibri"/>
                <w:sz w:val="22"/>
                <w:szCs w:val="28"/>
              </w:rPr>
              <w:t>Provides standardized exit checklists across HR, IT, Finance, Administration, and Operations, ensuring all clearance requirements are completed, verified, and documented consistently before employee release, reducing risks, omissions, and compliance gaps during offboarding processes.</w:t>
            </w:r>
          </w:p>
        </w:tc>
      </w:tr>
      <w:tr w:rsidR="00676F01" w14:paraId="7FBE777A" w14:textId="77777777" w:rsidTr="00615700">
        <w:trPr>
          <w:trHeight w:val="2324"/>
        </w:trPr>
        <w:tc>
          <w:tcPr>
            <w:tcW w:w="3256" w:type="dxa"/>
            <w:vAlign w:val="center"/>
          </w:tcPr>
          <w:p w14:paraId="09A73FFD" w14:textId="16DF2D7E" w:rsidR="00676F01" w:rsidRDefault="008E568D" w:rsidP="00E24A49">
            <w:pPr>
              <w:jc w:val="center"/>
              <w:rPr>
                <w:noProof/>
              </w:rPr>
            </w:pPr>
            <w:r>
              <w:rPr>
                <w:rFonts w:ascii="Calibri" w:hAnsi="Calibri" w:cs="Calibri"/>
                <w:noProof/>
                <w:sz w:val="22"/>
                <w:szCs w:val="28"/>
              </w:rPr>
              <w:drawing>
                <wp:inline distT="0" distB="0" distL="0" distR="0" wp14:anchorId="0AE0E8B5" wp14:editId="2797FA3C">
                  <wp:extent cx="1080000" cy="1080000"/>
                  <wp:effectExtent l="0" t="0" r="6350" b="6350"/>
                  <wp:docPr id="134349511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704E8601" w14:textId="3F61451B" w:rsidR="00676F01" w:rsidRDefault="00676F01" w:rsidP="00E24A49">
            <w:pPr>
              <w:jc w:val="center"/>
              <w:rPr>
                <w:rFonts w:ascii="Calibri" w:hAnsi="Calibri" w:cs="Calibri"/>
                <w:sz w:val="22"/>
                <w:szCs w:val="28"/>
              </w:rPr>
            </w:pPr>
            <w:r>
              <w:rPr>
                <w:rFonts w:ascii="Calibri" w:hAnsi="Calibri" w:cs="Calibri"/>
                <w:sz w:val="22"/>
                <w:szCs w:val="28"/>
              </w:rPr>
              <w:t>OFFBOARDING SLA &amp; TIMELINE MONITORING</w:t>
            </w:r>
          </w:p>
        </w:tc>
        <w:tc>
          <w:tcPr>
            <w:tcW w:w="6253" w:type="dxa"/>
            <w:vAlign w:val="center"/>
          </w:tcPr>
          <w:p w14:paraId="0F77BDF1" w14:textId="42E1330C" w:rsidR="00676F01" w:rsidRPr="00676F01" w:rsidRDefault="00676F01" w:rsidP="00E24A49">
            <w:pPr>
              <w:jc w:val="center"/>
              <w:rPr>
                <w:rFonts w:ascii="Calibri" w:hAnsi="Calibri" w:cs="Calibri"/>
                <w:sz w:val="22"/>
                <w:szCs w:val="28"/>
              </w:rPr>
            </w:pPr>
            <w:r w:rsidRPr="00676F01">
              <w:rPr>
                <w:rFonts w:ascii="Calibri" w:hAnsi="Calibri" w:cs="Calibri"/>
                <w:sz w:val="22"/>
                <w:szCs w:val="28"/>
              </w:rPr>
              <w:t>Monitors offboarding activities against defined service timelines and SLAs, tracking delays, approvals, and completion status to ensure timely settlements, access revocation, process efficiency, and accountability across departments involved in employee separation activities.</w:t>
            </w:r>
          </w:p>
        </w:tc>
      </w:tr>
      <w:tr w:rsidR="00676F01" w14:paraId="49F61575" w14:textId="77777777" w:rsidTr="00615700">
        <w:trPr>
          <w:trHeight w:val="2324"/>
        </w:trPr>
        <w:tc>
          <w:tcPr>
            <w:tcW w:w="3256" w:type="dxa"/>
            <w:vAlign w:val="center"/>
          </w:tcPr>
          <w:p w14:paraId="592F9FB8" w14:textId="3ACF6D44" w:rsidR="00676F01" w:rsidRDefault="008E568D" w:rsidP="00E24A49">
            <w:pPr>
              <w:jc w:val="center"/>
              <w:rPr>
                <w:noProof/>
              </w:rPr>
            </w:pPr>
            <w:r>
              <w:rPr>
                <w:rFonts w:ascii="Calibri" w:hAnsi="Calibri" w:cs="Calibri"/>
                <w:noProof/>
                <w:sz w:val="22"/>
                <w:szCs w:val="28"/>
              </w:rPr>
              <w:lastRenderedPageBreak/>
              <w:drawing>
                <wp:inline distT="0" distB="0" distL="0" distR="0" wp14:anchorId="77BAC6DF" wp14:editId="1D60DA00">
                  <wp:extent cx="1080000" cy="1080000"/>
                  <wp:effectExtent l="0" t="0" r="6350" b="6350"/>
                  <wp:docPr id="63268913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130F40B2" w14:textId="3159E4EA" w:rsidR="00676F01" w:rsidRDefault="00676F01" w:rsidP="00E24A49">
            <w:pPr>
              <w:jc w:val="center"/>
              <w:rPr>
                <w:rFonts w:ascii="Calibri" w:hAnsi="Calibri" w:cs="Calibri"/>
                <w:sz w:val="22"/>
                <w:szCs w:val="28"/>
              </w:rPr>
            </w:pPr>
            <w:r>
              <w:rPr>
                <w:rFonts w:ascii="Calibri" w:hAnsi="Calibri" w:cs="Calibri"/>
                <w:sz w:val="22"/>
                <w:szCs w:val="28"/>
              </w:rPr>
              <w:t>REHIRE ELIGIBILITY &amp; BLACKLIST FLAGGING</w:t>
            </w:r>
          </w:p>
        </w:tc>
        <w:tc>
          <w:tcPr>
            <w:tcW w:w="6253" w:type="dxa"/>
            <w:vAlign w:val="center"/>
          </w:tcPr>
          <w:p w14:paraId="4B31A0E4" w14:textId="7D08CFC3" w:rsidR="00676F01" w:rsidRPr="00676F01" w:rsidRDefault="00676F01" w:rsidP="00E24A49">
            <w:pPr>
              <w:jc w:val="center"/>
              <w:rPr>
                <w:rFonts w:ascii="Calibri" w:hAnsi="Calibri" w:cs="Calibri"/>
                <w:sz w:val="22"/>
                <w:szCs w:val="28"/>
              </w:rPr>
            </w:pPr>
            <w:r w:rsidRPr="00676F01">
              <w:rPr>
                <w:rFonts w:ascii="Calibri" w:hAnsi="Calibri" w:cs="Calibri"/>
                <w:sz w:val="22"/>
                <w:szCs w:val="28"/>
              </w:rPr>
              <w:t xml:space="preserve">Records </w:t>
            </w:r>
            <w:proofErr w:type="gramStart"/>
            <w:r w:rsidRPr="00676F01">
              <w:rPr>
                <w:rFonts w:ascii="Calibri" w:hAnsi="Calibri" w:cs="Calibri"/>
                <w:sz w:val="22"/>
                <w:szCs w:val="28"/>
              </w:rPr>
              <w:t>employee</w:t>
            </w:r>
            <w:proofErr w:type="gramEnd"/>
            <w:r w:rsidRPr="00676F01">
              <w:rPr>
                <w:rFonts w:ascii="Calibri" w:hAnsi="Calibri" w:cs="Calibri"/>
                <w:sz w:val="22"/>
                <w:szCs w:val="28"/>
              </w:rPr>
              <w:t xml:space="preserve"> rehire eligibility status and blacklist flags based on exit conditions, disciplinary history, or policy decisions, supporting informed future recruitment decisions, risk mitigation, and consistent enforcement of organizational rehiring policies.</w:t>
            </w:r>
          </w:p>
        </w:tc>
      </w:tr>
    </w:tbl>
    <w:p w14:paraId="0F02C155" w14:textId="77777777" w:rsidR="00594BE2" w:rsidRDefault="00594BE2"/>
    <w:p w14:paraId="0C761886" w14:textId="47F608B7" w:rsidR="00594BE2" w:rsidRDefault="00594BE2"/>
    <w:p w14:paraId="129EC077" w14:textId="2AA7A133" w:rsidR="00066182" w:rsidRDefault="00066182"/>
    <w:p w14:paraId="3D432382" w14:textId="77777777" w:rsidR="009A13DB" w:rsidRDefault="009A13DB"/>
    <w:p w14:paraId="06DA9DCE" w14:textId="77777777" w:rsidR="009A13DB" w:rsidRDefault="009A13DB"/>
    <w:p w14:paraId="5B4CA790" w14:textId="1F4DF2EA" w:rsidR="009A13DB" w:rsidRDefault="009A13DB"/>
    <w:sectPr w:rsidR="009A13DB" w:rsidSect="00DA12A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A49"/>
    <w:rsid w:val="00011AA1"/>
    <w:rsid w:val="00066182"/>
    <w:rsid w:val="000D2725"/>
    <w:rsid w:val="001E2F93"/>
    <w:rsid w:val="002B280B"/>
    <w:rsid w:val="00300B47"/>
    <w:rsid w:val="00335EB9"/>
    <w:rsid w:val="0055225F"/>
    <w:rsid w:val="00594BE2"/>
    <w:rsid w:val="005B33AD"/>
    <w:rsid w:val="005D054B"/>
    <w:rsid w:val="005D7F05"/>
    <w:rsid w:val="005E1249"/>
    <w:rsid w:val="005F7A77"/>
    <w:rsid w:val="00615700"/>
    <w:rsid w:val="00676F01"/>
    <w:rsid w:val="006A56F4"/>
    <w:rsid w:val="00705DCB"/>
    <w:rsid w:val="00711CA5"/>
    <w:rsid w:val="00712A3D"/>
    <w:rsid w:val="008103A8"/>
    <w:rsid w:val="008E568D"/>
    <w:rsid w:val="008E79E0"/>
    <w:rsid w:val="0091090A"/>
    <w:rsid w:val="009A13DB"/>
    <w:rsid w:val="009B5BEB"/>
    <w:rsid w:val="009D200F"/>
    <w:rsid w:val="009E67E9"/>
    <w:rsid w:val="009F01F3"/>
    <w:rsid w:val="00A23AEE"/>
    <w:rsid w:val="00C159AC"/>
    <w:rsid w:val="00D61CD4"/>
    <w:rsid w:val="00DA12AE"/>
    <w:rsid w:val="00DC0C88"/>
    <w:rsid w:val="00E24A49"/>
    <w:rsid w:val="00E559B5"/>
    <w:rsid w:val="00E83C8A"/>
    <w:rsid w:val="00EB3459"/>
    <w:rsid w:val="00F46CAD"/>
    <w:rsid w:val="00F53E6A"/>
    <w:rsid w:val="00FC635D"/>
  </w:rsids>
  <m:mathPr>
    <m:mathFont m:val="Cambria Math"/>
    <m:brkBin m:val="before"/>
    <m:brkBinSub m:val="--"/>
    <m:smallFrac m:val="0"/>
    <m:dispDef/>
    <m:lMargin m:val="0"/>
    <m:rMargin m:val="0"/>
    <m:defJc m:val="centerGroup"/>
    <m:wrapIndent m:val="1440"/>
    <m:intLim m:val="subSup"/>
    <m:naryLim m:val="undOvr"/>
  </m:mathPr>
  <w:themeFontLang w:val="en-MY"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74E2E"/>
  <w15:chartTrackingRefBased/>
  <w15:docId w15:val="{4565DFFA-BD44-4744-A2AF-0139960F7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MY"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A49"/>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E24A49"/>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E24A49"/>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E24A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A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A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A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A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A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A49"/>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E24A49"/>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E24A49"/>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E24A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A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A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A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A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A49"/>
    <w:rPr>
      <w:rFonts w:eastAsiaTheme="majorEastAsia" w:cstheme="majorBidi"/>
      <w:color w:val="272727" w:themeColor="text1" w:themeTint="D8"/>
    </w:rPr>
  </w:style>
  <w:style w:type="paragraph" w:styleId="Title">
    <w:name w:val="Title"/>
    <w:basedOn w:val="Normal"/>
    <w:next w:val="Normal"/>
    <w:link w:val="TitleChar"/>
    <w:uiPriority w:val="10"/>
    <w:qFormat/>
    <w:rsid w:val="00E24A49"/>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24A49"/>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24A49"/>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24A49"/>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24A49"/>
    <w:pPr>
      <w:spacing w:before="160"/>
      <w:jc w:val="center"/>
    </w:pPr>
    <w:rPr>
      <w:i/>
      <w:iCs/>
      <w:color w:val="404040" w:themeColor="text1" w:themeTint="BF"/>
    </w:rPr>
  </w:style>
  <w:style w:type="character" w:customStyle="1" w:styleId="QuoteChar">
    <w:name w:val="Quote Char"/>
    <w:basedOn w:val="DefaultParagraphFont"/>
    <w:link w:val="Quote"/>
    <w:uiPriority w:val="29"/>
    <w:rsid w:val="00E24A49"/>
    <w:rPr>
      <w:i/>
      <w:iCs/>
      <w:color w:val="404040" w:themeColor="text1" w:themeTint="BF"/>
    </w:rPr>
  </w:style>
  <w:style w:type="paragraph" w:styleId="ListParagraph">
    <w:name w:val="List Paragraph"/>
    <w:basedOn w:val="Normal"/>
    <w:uiPriority w:val="34"/>
    <w:qFormat/>
    <w:rsid w:val="00E24A49"/>
    <w:pPr>
      <w:ind w:left="720"/>
      <w:contextualSpacing/>
    </w:pPr>
  </w:style>
  <w:style w:type="character" w:styleId="IntenseEmphasis">
    <w:name w:val="Intense Emphasis"/>
    <w:basedOn w:val="DefaultParagraphFont"/>
    <w:uiPriority w:val="21"/>
    <w:qFormat/>
    <w:rsid w:val="00E24A49"/>
    <w:rPr>
      <w:i/>
      <w:iCs/>
      <w:color w:val="0F4761" w:themeColor="accent1" w:themeShade="BF"/>
    </w:rPr>
  </w:style>
  <w:style w:type="paragraph" w:styleId="IntenseQuote">
    <w:name w:val="Intense Quote"/>
    <w:basedOn w:val="Normal"/>
    <w:next w:val="Normal"/>
    <w:link w:val="IntenseQuoteChar"/>
    <w:uiPriority w:val="30"/>
    <w:qFormat/>
    <w:rsid w:val="00E24A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A49"/>
    <w:rPr>
      <w:i/>
      <w:iCs/>
      <w:color w:val="0F4761" w:themeColor="accent1" w:themeShade="BF"/>
    </w:rPr>
  </w:style>
  <w:style w:type="character" w:styleId="IntenseReference">
    <w:name w:val="Intense Reference"/>
    <w:basedOn w:val="DefaultParagraphFont"/>
    <w:uiPriority w:val="32"/>
    <w:qFormat/>
    <w:rsid w:val="00E24A49"/>
    <w:rPr>
      <w:b/>
      <w:bCs/>
      <w:smallCaps/>
      <w:color w:val="0F4761" w:themeColor="accent1" w:themeShade="BF"/>
      <w:spacing w:val="5"/>
    </w:rPr>
  </w:style>
  <w:style w:type="table" w:styleId="TableGrid">
    <w:name w:val="Table Grid"/>
    <w:basedOn w:val="TableNormal"/>
    <w:uiPriority w:val="39"/>
    <w:rsid w:val="00E24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357</Words>
  <Characters>2822</Characters>
  <Application>Microsoft Office Word</Application>
  <DocSecurity>0</DocSecurity>
  <Lines>256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Azli Bharudin</dc:creator>
  <cp:keywords/>
  <dc:description/>
  <cp:lastModifiedBy>Mohd Azli Bharudin</cp:lastModifiedBy>
  <cp:revision>3</cp:revision>
  <dcterms:created xsi:type="dcterms:W3CDTF">2026-01-05T11:51:00Z</dcterms:created>
  <dcterms:modified xsi:type="dcterms:W3CDTF">2026-01-05T12:21:00Z</dcterms:modified>
</cp:coreProperties>
</file>