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321FE51A" w:rsidR="00E24A49" w:rsidRDefault="006A7676" w:rsidP="00E24A49">
            <w:pPr>
              <w:jc w:val="center"/>
            </w:pPr>
            <w:r>
              <w:rPr>
                <w:noProof/>
              </w:rPr>
              <w:drawing>
                <wp:inline distT="0" distB="0" distL="0" distR="0" wp14:anchorId="6E2D6EF4" wp14:editId="51A6DE46">
                  <wp:extent cx="1080000" cy="1080000"/>
                  <wp:effectExtent l="0" t="0" r="6350" b="6350"/>
                  <wp:docPr id="30990140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4E828145" w:rsidR="00E24A49" w:rsidRPr="00DA12AE" w:rsidRDefault="006A7676" w:rsidP="00615700">
            <w:pPr>
              <w:jc w:val="center"/>
              <w:rPr>
                <w:rFonts w:ascii="Calibri" w:hAnsi="Calibri" w:cs="Calibri"/>
                <w:sz w:val="22"/>
                <w:szCs w:val="28"/>
              </w:rPr>
            </w:pPr>
            <w:r>
              <w:rPr>
                <w:rFonts w:ascii="Calibri" w:hAnsi="Calibri" w:cs="Calibri"/>
                <w:sz w:val="22"/>
                <w:szCs w:val="28"/>
              </w:rPr>
              <w:t>MSS  - MANAGER SELF SERVICE MODULE</w:t>
            </w:r>
          </w:p>
        </w:tc>
        <w:tc>
          <w:tcPr>
            <w:tcW w:w="6253" w:type="dxa"/>
            <w:vAlign w:val="center"/>
          </w:tcPr>
          <w:p w14:paraId="11DE6300" w14:textId="4F9BD24C" w:rsidR="00E24A49" w:rsidRPr="00DA12AE" w:rsidRDefault="006A7676" w:rsidP="00E24A49">
            <w:pPr>
              <w:jc w:val="center"/>
              <w:rPr>
                <w:rFonts w:ascii="Calibri" w:hAnsi="Calibri" w:cs="Calibri"/>
                <w:sz w:val="22"/>
                <w:szCs w:val="28"/>
              </w:rPr>
            </w:pPr>
            <w:r w:rsidRPr="006A7676">
              <w:rPr>
                <w:rFonts w:ascii="Calibri" w:hAnsi="Calibri" w:cs="Calibri"/>
                <w:sz w:val="22"/>
                <w:szCs w:val="28"/>
              </w:rPr>
              <w:t>Empowers managers with self-service tools to manage team operations, approvals, performance, compliance, scheduling, and workforce requests, enabling faster decisions, improved oversight, reduced HR dependency, and effective people management aligned with organizational policies and operational requirements across departments.</w:t>
            </w:r>
          </w:p>
        </w:tc>
      </w:tr>
      <w:tr w:rsidR="006A7676" w14:paraId="0B4DE09B" w14:textId="77777777" w:rsidTr="00615700">
        <w:trPr>
          <w:trHeight w:val="2324"/>
        </w:trPr>
        <w:tc>
          <w:tcPr>
            <w:tcW w:w="3256" w:type="dxa"/>
            <w:vAlign w:val="center"/>
          </w:tcPr>
          <w:p w14:paraId="65DC9B5E" w14:textId="3C38DCF8" w:rsidR="006A7676" w:rsidRDefault="006A7676" w:rsidP="00E24A49">
            <w:pPr>
              <w:jc w:val="center"/>
              <w:rPr>
                <w:noProof/>
              </w:rPr>
            </w:pPr>
            <w:r>
              <w:rPr>
                <w:noProof/>
              </w:rPr>
              <w:drawing>
                <wp:inline distT="0" distB="0" distL="0" distR="0" wp14:anchorId="6C81DBB3" wp14:editId="3F7A4B48">
                  <wp:extent cx="1080000" cy="1080000"/>
                  <wp:effectExtent l="0" t="0" r="6350" b="6350"/>
                  <wp:docPr id="189857826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B414727" w14:textId="5DD4669C" w:rsidR="006A7676" w:rsidRPr="00DA12AE" w:rsidRDefault="006A7676" w:rsidP="00E24A49">
            <w:pPr>
              <w:jc w:val="center"/>
              <w:rPr>
                <w:rFonts w:ascii="Calibri" w:hAnsi="Calibri" w:cs="Calibri"/>
                <w:sz w:val="22"/>
                <w:szCs w:val="28"/>
              </w:rPr>
            </w:pPr>
            <w:r>
              <w:rPr>
                <w:rFonts w:ascii="Calibri" w:hAnsi="Calibri" w:cs="Calibri"/>
                <w:sz w:val="22"/>
                <w:szCs w:val="28"/>
              </w:rPr>
              <w:t>ROTATIONAL &amp; DUTY TRAVEL MANAGEMENT</w:t>
            </w:r>
          </w:p>
        </w:tc>
        <w:tc>
          <w:tcPr>
            <w:tcW w:w="6253" w:type="dxa"/>
            <w:vAlign w:val="center"/>
          </w:tcPr>
          <w:p w14:paraId="7253937C" w14:textId="3EB33F8D" w:rsidR="006A7676" w:rsidRPr="00676F01" w:rsidRDefault="006A7676" w:rsidP="00E24A49">
            <w:pPr>
              <w:jc w:val="center"/>
              <w:rPr>
                <w:rFonts w:ascii="Calibri" w:hAnsi="Calibri" w:cs="Calibri"/>
                <w:sz w:val="22"/>
                <w:szCs w:val="28"/>
              </w:rPr>
            </w:pPr>
            <w:r w:rsidRPr="006A7676">
              <w:rPr>
                <w:rFonts w:ascii="Calibri" w:hAnsi="Calibri" w:cs="Calibri"/>
                <w:sz w:val="22"/>
                <w:szCs w:val="28"/>
              </w:rPr>
              <w:t>Enables managers to plan, approve, and monitor rotational duties and official travel assignments, ensuring workforce availability, policy compliance, cost visibility, and clear scheduling for teams involved in shifts, fieldwork, or multi-location operational requirements.</w:t>
            </w:r>
          </w:p>
        </w:tc>
      </w:tr>
      <w:tr w:rsidR="006A7676" w14:paraId="40E3DC60" w14:textId="77777777" w:rsidTr="00615700">
        <w:trPr>
          <w:trHeight w:val="2324"/>
        </w:trPr>
        <w:tc>
          <w:tcPr>
            <w:tcW w:w="3256" w:type="dxa"/>
            <w:vAlign w:val="center"/>
          </w:tcPr>
          <w:p w14:paraId="0A7B88E0" w14:textId="7A78EC4D" w:rsidR="006A7676" w:rsidRDefault="006A7676" w:rsidP="00E24A49">
            <w:pPr>
              <w:jc w:val="center"/>
              <w:rPr>
                <w:noProof/>
              </w:rPr>
            </w:pPr>
            <w:r>
              <w:rPr>
                <w:noProof/>
              </w:rPr>
              <w:drawing>
                <wp:inline distT="0" distB="0" distL="0" distR="0" wp14:anchorId="0C0E4EB8" wp14:editId="00866917">
                  <wp:extent cx="1080000" cy="1080000"/>
                  <wp:effectExtent l="0" t="0" r="6350" b="6350"/>
                  <wp:docPr id="27383786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03EBFCF" w14:textId="1B798C86" w:rsidR="006A7676" w:rsidRPr="00DA12AE" w:rsidRDefault="006A7676" w:rsidP="00E24A49">
            <w:pPr>
              <w:jc w:val="center"/>
              <w:rPr>
                <w:rFonts w:ascii="Calibri" w:hAnsi="Calibri" w:cs="Calibri"/>
                <w:sz w:val="22"/>
                <w:szCs w:val="28"/>
              </w:rPr>
            </w:pPr>
            <w:r>
              <w:rPr>
                <w:rFonts w:ascii="Calibri" w:hAnsi="Calibri" w:cs="Calibri"/>
                <w:sz w:val="22"/>
                <w:szCs w:val="28"/>
              </w:rPr>
              <w:t>ALLOWANCE &amp; BENEFITS VERIFICATION</w:t>
            </w:r>
          </w:p>
        </w:tc>
        <w:tc>
          <w:tcPr>
            <w:tcW w:w="6253" w:type="dxa"/>
            <w:vAlign w:val="center"/>
          </w:tcPr>
          <w:p w14:paraId="42513826" w14:textId="0FB9059F" w:rsidR="006A7676" w:rsidRPr="00676F01" w:rsidRDefault="006A7676" w:rsidP="00E24A49">
            <w:pPr>
              <w:jc w:val="center"/>
              <w:rPr>
                <w:rFonts w:ascii="Calibri" w:hAnsi="Calibri" w:cs="Calibri"/>
                <w:sz w:val="22"/>
                <w:szCs w:val="28"/>
              </w:rPr>
            </w:pPr>
            <w:r w:rsidRPr="006A7676">
              <w:rPr>
                <w:rFonts w:ascii="Calibri" w:hAnsi="Calibri" w:cs="Calibri"/>
                <w:sz w:val="22"/>
                <w:szCs w:val="28"/>
              </w:rPr>
              <w:t>Allows managers to verify employee allowances and benefits eligibility based on roles, assignments, attendance, and policies, ensuring accurate entitlement validation, controlled costs, and alignment with approved compensation and benefits structures.</w:t>
            </w:r>
          </w:p>
        </w:tc>
      </w:tr>
      <w:tr w:rsidR="006A7676" w14:paraId="6DCCCFDE" w14:textId="77777777" w:rsidTr="00615700">
        <w:trPr>
          <w:trHeight w:val="2324"/>
        </w:trPr>
        <w:tc>
          <w:tcPr>
            <w:tcW w:w="3256" w:type="dxa"/>
            <w:vAlign w:val="center"/>
          </w:tcPr>
          <w:p w14:paraId="0ACFAAC3" w14:textId="2DB11249" w:rsidR="006A7676" w:rsidRDefault="006A7676" w:rsidP="00E24A49">
            <w:pPr>
              <w:jc w:val="center"/>
              <w:rPr>
                <w:noProof/>
              </w:rPr>
            </w:pPr>
            <w:r>
              <w:rPr>
                <w:noProof/>
              </w:rPr>
              <w:lastRenderedPageBreak/>
              <w:drawing>
                <wp:inline distT="0" distB="0" distL="0" distR="0" wp14:anchorId="7D17545B" wp14:editId="2D35B5A6">
                  <wp:extent cx="1080000" cy="1080000"/>
                  <wp:effectExtent l="0" t="0" r="6350" b="6350"/>
                  <wp:docPr id="189752857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BD6BA61" w14:textId="0232B4BC" w:rsidR="006A7676" w:rsidRPr="00DA12AE" w:rsidRDefault="006A7676" w:rsidP="00E24A49">
            <w:pPr>
              <w:jc w:val="center"/>
              <w:rPr>
                <w:rFonts w:ascii="Calibri" w:hAnsi="Calibri" w:cs="Calibri"/>
                <w:sz w:val="22"/>
                <w:szCs w:val="28"/>
              </w:rPr>
            </w:pPr>
            <w:r>
              <w:rPr>
                <w:rFonts w:ascii="Calibri" w:hAnsi="Calibri" w:cs="Calibri"/>
                <w:sz w:val="22"/>
                <w:szCs w:val="28"/>
              </w:rPr>
              <w:t>STAFF LICENSING &amp; COMPLIANCE</w:t>
            </w:r>
          </w:p>
        </w:tc>
        <w:tc>
          <w:tcPr>
            <w:tcW w:w="6253" w:type="dxa"/>
            <w:vAlign w:val="center"/>
          </w:tcPr>
          <w:p w14:paraId="57B8F646" w14:textId="051124CC" w:rsidR="006A7676" w:rsidRPr="00676F01" w:rsidRDefault="006A7676" w:rsidP="00E24A49">
            <w:pPr>
              <w:jc w:val="center"/>
              <w:rPr>
                <w:rFonts w:ascii="Calibri" w:hAnsi="Calibri" w:cs="Calibri"/>
                <w:sz w:val="22"/>
                <w:szCs w:val="28"/>
              </w:rPr>
            </w:pPr>
            <w:r w:rsidRPr="006A7676">
              <w:rPr>
                <w:rFonts w:ascii="Calibri" w:hAnsi="Calibri" w:cs="Calibri"/>
                <w:sz w:val="22"/>
                <w:szCs w:val="28"/>
              </w:rPr>
              <w:t>Provides managers visibility to staff licenses, certifications, and compliance status, enabling verification of eligibility, monitoring expiries, and ensuring team members meet regulatory and operational requirements before assignment or deployment.</w:t>
            </w:r>
          </w:p>
        </w:tc>
      </w:tr>
      <w:tr w:rsidR="006A7676" w14:paraId="10B41E89" w14:textId="77777777" w:rsidTr="00615700">
        <w:trPr>
          <w:trHeight w:val="2324"/>
        </w:trPr>
        <w:tc>
          <w:tcPr>
            <w:tcW w:w="3256" w:type="dxa"/>
            <w:vAlign w:val="center"/>
          </w:tcPr>
          <w:p w14:paraId="145F4795" w14:textId="768B16DA" w:rsidR="006A7676" w:rsidRDefault="006A7676" w:rsidP="00E24A49">
            <w:pPr>
              <w:jc w:val="center"/>
              <w:rPr>
                <w:noProof/>
              </w:rPr>
            </w:pPr>
            <w:r>
              <w:rPr>
                <w:noProof/>
              </w:rPr>
              <w:drawing>
                <wp:inline distT="0" distB="0" distL="0" distR="0" wp14:anchorId="50F89A56" wp14:editId="532AD4E2">
                  <wp:extent cx="1080000" cy="1080000"/>
                  <wp:effectExtent l="0" t="0" r="6350" b="6350"/>
                  <wp:docPr id="189400577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649DA2D" w14:textId="1235450C" w:rsidR="006A7676" w:rsidRPr="00DA12AE" w:rsidRDefault="006A7676" w:rsidP="00E24A49">
            <w:pPr>
              <w:jc w:val="center"/>
              <w:rPr>
                <w:rFonts w:ascii="Calibri" w:hAnsi="Calibri" w:cs="Calibri"/>
                <w:sz w:val="22"/>
                <w:szCs w:val="28"/>
              </w:rPr>
            </w:pPr>
            <w:r>
              <w:rPr>
                <w:rFonts w:ascii="Calibri" w:hAnsi="Calibri" w:cs="Calibri"/>
                <w:sz w:val="22"/>
                <w:szCs w:val="28"/>
              </w:rPr>
              <w:t>TEAM PERFORMANCE &amp; APPRAISAL</w:t>
            </w:r>
          </w:p>
        </w:tc>
        <w:tc>
          <w:tcPr>
            <w:tcW w:w="6253" w:type="dxa"/>
            <w:vAlign w:val="center"/>
          </w:tcPr>
          <w:p w14:paraId="7A43A8EA" w14:textId="2D8602F0" w:rsidR="006A7676" w:rsidRPr="00676F01" w:rsidRDefault="006A7676" w:rsidP="00E24A49">
            <w:pPr>
              <w:jc w:val="center"/>
              <w:rPr>
                <w:rFonts w:ascii="Calibri" w:hAnsi="Calibri" w:cs="Calibri"/>
                <w:sz w:val="22"/>
                <w:szCs w:val="28"/>
              </w:rPr>
            </w:pPr>
            <w:r w:rsidRPr="006A7676">
              <w:rPr>
                <w:rFonts w:ascii="Calibri" w:hAnsi="Calibri" w:cs="Calibri"/>
                <w:sz w:val="22"/>
                <w:szCs w:val="28"/>
              </w:rPr>
              <w:t>Enables managers to review team KPIs, performance results, and appraisal records, supporting fair evaluations, constructive feedback, development planning, and alignment between team outcomes and organizational performance objectives.</w:t>
            </w:r>
          </w:p>
        </w:tc>
      </w:tr>
      <w:tr w:rsidR="006A7676" w14:paraId="68F0BDAC" w14:textId="77777777" w:rsidTr="00615700">
        <w:trPr>
          <w:trHeight w:val="2324"/>
        </w:trPr>
        <w:tc>
          <w:tcPr>
            <w:tcW w:w="3256" w:type="dxa"/>
            <w:vAlign w:val="center"/>
          </w:tcPr>
          <w:p w14:paraId="4E68C858" w14:textId="4A7C25EE" w:rsidR="006A7676" w:rsidRDefault="006A7676" w:rsidP="00E24A49">
            <w:pPr>
              <w:jc w:val="center"/>
              <w:rPr>
                <w:noProof/>
              </w:rPr>
            </w:pPr>
            <w:r>
              <w:rPr>
                <w:noProof/>
              </w:rPr>
              <w:drawing>
                <wp:inline distT="0" distB="0" distL="0" distR="0" wp14:anchorId="17C7EC16" wp14:editId="3B2D47DE">
                  <wp:extent cx="1080000" cy="1080000"/>
                  <wp:effectExtent l="0" t="0" r="6350" b="6350"/>
                  <wp:docPr id="14845039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4DAC212" w14:textId="3877B611" w:rsidR="006A7676" w:rsidRPr="00DA12AE" w:rsidRDefault="006A7676" w:rsidP="00E24A49">
            <w:pPr>
              <w:jc w:val="center"/>
              <w:rPr>
                <w:rFonts w:ascii="Calibri" w:hAnsi="Calibri" w:cs="Calibri"/>
                <w:sz w:val="22"/>
                <w:szCs w:val="28"/>
              </w:rPr>
            </w:pPr>
            <w:r>
              <w:rPr>
                <w:rFonts w:ascii="Calibri" w:hAnsi="Calibri" w:cs="Calibri"/>
                <w:sz w:val="22"/>
                <w:szCs w:val="28"/>
              </w:rPr>
              <w:t xml:space="preserve">TEAM SCHEDULE &amp; ATTENDANCE </w:t>
            </w:r>
          </w:p>
        </w:tc>
        <w:tc>
          <w:tcPr>
            <w:tcW w:w="6253" w:type="dxa"/>
            <w:vAlign w:val="center"/>
          </w:tcPr>
          <w:p w14:paraId="7753E7CE" w14:textId="60862FBA" w:rsidR="006A7676" w:rsidRPr="00676F01" w:rsidRDefault="006A7676" w:rsidP="00E24A49">
            <w:pPr>
              <w:jc w:val="center"/>
              <w:rPr>
                <w:rFonts w:ascii="Calibri" w:hAnsi="Calibri" w:cs="Calibri"/>
                <w:sz w:val="22"/>
                <w:szCs w:val="28"/>
              </w:rPr>
            </w:pPr>
            <w:r w:rsidRPr="006A7676">
              <w:rPr>
                <w:rFonts w:ascii="Calibri" w:hAnsi="Calibri" w:cs="Calibri"/>
                <w:sz w:val="22"/>
                <w:szCs w:val="28"/>
              </w:rPr>
              <w:t>Allows managers to view and manage team schedules, shifts, rosters, and attendance records, ensuring adequate coverage, attendance compliance, and effective workforce planning across daily operations and multiple work locations.</w:t>
            </w:r>
          </w:p>
        </w:tc>
      </w:tr>
      <w:tr w:rsidR="006A7676" w14:paraId="3FD226C5" w14:textId="77777777" w:rsidTr="00615700">
        <w:trPr>
          <w:trHeight w:val="2324"/>
        </w:trPr>
        <w:tc>
          <w:tcPr>
            <w:tcW w:w="3256" w:type="dxa"/>
            <w:vAlign w:val="center"/>
          </w:tcPr>
          <w:p w14:paraId="6172842E" w14:textId="7199BD12" w:rsidR="006A7676" w:rsidRDefault="006A7676" w:rsidP="00E24A49">
            <w:pPr>
              <w:jc w:val="center"/>
              <w:rPr>
                <w:noProof/>
              </w:rPr>
            </w:pPr>
            <w:r>
              <w:rPr>
                <w:noProof/>
              </w:rPr>
              <w:lastRenderedPageBreak/>
              <w:drawing>
                <wp:inline distT="0" distB="0" distL="0" distR="0" wp14:anchorId="31F75D9E" wp14:editId="69FA1CBC">
                  <wp:extent cx="1080000" cy="1080000"/>
                  <wp:effectExtent l="0" t="0" r="6350" b="6350"/>
                  <wp:docPr id="6364041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145D1F3" w14:textId="3E3ABCE9" w:rsidR="006A7676" w:rsidRPr="00DA12AE" w:rsidRDefault="006A7676" w:rsidP="00E24A49">
            <w:pPr>
              <w:jc w:val="center"/>
              <w:rPr>
                <w:rFonts w:ascii="Calibri" w:hAnsi="Calibri" w:cs="Calibri"/>
                <w:sz w:val="22"/>
                <w:szCs w:val="28"/>
              </w:rPr>
            </w:pPr>
            <w:r>
              <w:rPr>
                <w:rFonts w:ascii="Calibri" w:hAnsi="Calibri" w:cs="Calibri"/>
                <w:sz w:val="22"/>
                <w:szCs w:val="28"/>
              </w:rPr>
              <w:t>TRAVEL &amp; EXPENSE MANAGEMENT</w:t>
            </w:r>
          </w:p>
        </w:tc>
        <w:tc>
          <w:tcPr>
            <w:tcW w:w="6253" w:type="dxa"/>
            <w:vAlign w:val="center"/>
          </w:tcPr>
          <w:p w14:paraId="6E9406B4" w14:textId="4409A763" w:rsidR="006A7676" w:rsidRPr="00676F01" w:rsidRDefault="006A7676" w:rsidP="00E24A49">
            <w:pPr>
              <w:jc w:val="center"/>
              <w:rPr>
                <w:rFonts w:ascii="Calibri" w:hAnsi="Calibri" w:cs="Calibri"/>
                <w:sz w:val="22"/>
                <w:szCs w:val="28"/>
              </w:rPr>
            </w:pPr>
            <w:r w:rsidRPr="006A7676">
              <w:rPr>
                <w:rFonts w:ascii="Calibri" w:hAnsi="Calibri" w:cs="Calibri"/>
                <w:sz w:val="22"/>
                <w:szCs w:val="28"/>
              </w:rPr>
              <w:t>Enables managers to review, approve, and monitor team travel requests and expenses, ensuring compliance with policies, cost control, timely approvals, and accurate tracking of business-related expenditures.</w:t>
            </w:r>
          </w:p>
        </w:tc>
      </w:tr>
      <w:tr w:rsidR="006A7676" w14:paraId="6DD0D982" w14:textId="77777777" w:rsidTr="00615700">
        <w:trPr>
          <w:trHeight w:val="2324"/>
        </w:trPr>
        <w:tc>
          <w:tcPr>
            <w:tcW w:w="3256" w:type="dxa"/>
            <w:vAlign w:val="center"/>
          </w:tcPr>
          <w:p w14:paraId="5DAF6944" w14:textId="7724E58B" w:rsidR="006A7676" w:rsidRDefault="006A7676" w:rsidP="00E24A49">
            <w:pPr>
              <w:jc w:val="center"/>
              <w:rPr>
                <w:noProof/>
              </w:rPr>
            </w:pPr>
            <w:r>
              <w:rPr>
                <w:noProof/>
              </w:rPr>
              <w:drawing>
                <wp:inline distT="0" distB="0" distL="0" distR="0" wp14:anchorId="5D870852" wp14:editId="34743AA2">
                  <wp:extent cx="1080000" cy="1080000"/>
                  <wp:effectExtent l="0" t="0" r="6350" b="6350"/>
                  <wp:docPr id="141272743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D664E0A" w14:textId="5983A756" w:rsidR="006A7676" w:rsidRPr="00DA12AE" w:rsidRDefault="006A7676" w:rsidP="00E24A49">
            <w:pPr>
              <w:jc w:val="center"/>
              <w:rPr>
                <w:rFonts w:ascii="Calibri" w:hAnsi="Calibri" w:cs="Calibri"/>
                <w:sz w:val="22"/>
                <w:szCs w:val="28"/>
              </w:rPr>
            </w:pPr>
            <w:r>
              <w:rPr>
                <w:rFonts w:ascii="Calibri" w:hAnsi="Calibri" w:cs="Calibri"/>
                <w:sz w:val="22"/>
                <w:szCs w:val="28"/>
              </w:rPr>
              <w:t>DICIPLINARY ACTION MANAGEMENT</w:t>
            </w:r>
          </w:p>
        </w:tc>
        <w:tc>
          <w:tcPr>
            <w:tcW w:w="6253" w:type="dxa"/>
            <w:vAlign w:val="center"/>
          </w:tcPr>
          <w:p w14:paraId="48CCA488" w14:textId="1F8CA534" w:rsidR="006A7676" w:rsidRPr="00676F01" w:rsidRDefault="006A7676" w:rsidP="00E24A49">
            <w:pPr>
              <w:jc w:val="center"/>
              <w:rPr>
                <w:rFonts w:ascii="Calibri" w:hAnsi="Calibri" w:cs="Calibri"/>
                <w:sz w:val="22"/>
                <w:szCs w:val="28"/>
              </w:rPr>
            </w:pPr>
            <w:r w:rsidRPr="006A7676">
              <w:rPr>
                <w:rFonts w:ascii="Calibri" w:hAnsi="Calibri" w:cs="Calibri"/>
                <w:sz w:val="22"/>
                <w:szCs w:val="28"/>
              </w:rPr>
              <w:t>Supports managers in initiating, reviewing, and managing disciplinary actions according to defined policies, ensuring documentation, fairness, confidentiality, and consistent enforcement across teams and organizational units.</w:t>
            </w:r>
          </w:p>
        </w:tc>
      </w:tr>
      <w:tr w:rsidR="006A7676" w14:paraId="4069400D" w14:textId="77777777" w:rsidTr="00615700">
        <w:trPr>
          <w:trHeight w:val="2324"/>
        </w:trPr>
        <w:tc>
          <w:tcPr>
            <w:tcW w:w="3256" w:type="dxa"/>
            <w:vAlign w:val="center"/>
          </w:tcPr>
          <w:p w14:paraId="31E511E0" w14:textId="3FDD24A7" w:rsidR="006A7676" w:rsidRDefault="006A7676" w:rsidP="00E24A49">
            <w:pPr>
              <w:jc w:val="center"/>
              <w:rPr>
                <w:noProof/>
              </w:rPr>
            </w:pPr>
            <w:r>
              <w:rPr>
                <w:noProof/>
              </w:rPr>
              <w:drawing>
                <wp:inline distT="0" distB="0" distL="0" distR="0" wp14:anchorId="21D3F6FB" wp14:editId="2BC4B583">
                  <wp:extent cx="1080000" cy="1080000"/>
                  <wp:effectExtent l="0" t="0" r="6350" b="6350"/>
                  <wp:docPr id="3662320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BEB89D4" w14:textId="19AEAFCE" w:rsidR="006A7676" w:rsidRPr="00DA12AE" w:rsidRDefault="006A7676" w:rsidP="00E24A49">
            <w:pPr>
              <w:jc w:val="center"/>
              <w:rPr>
                <w:rFonts w:ascii="Calibri" w:hAnsi="Calibri" w:cs="Calibri"/>
                <w:sz w:val="22"/>
                <w:szCs w:val="28"/>
              </w:rPr>
            </w:pPr>
            <w:r>
              <w:rPr>
                <w:rFonts w:ascii="Calibri" w:hAnsi="Calibri" w:cs="Calibri"/>
                <w:sz w:val="22"/>
                <w:szCs w:val="28"/>
              </w:rPr>
              <w:t>EMPLOYEE / MANPOWER INWUIRY / REQUISITION</w:t>
            </w:r>
          </w:p>
        </w:tc>
        <w:tc>
          <w:tcPr>
            <w:tcW w:w="6253" w:type="dxa"/>
            <w:vAlign w:val="center"/>
          </w:tcPr>
          <w:p w14:paraId="5613607B" w14:textId="2C6BE731" w:rsidR="006A7676" w:rsidRPr="00676F01" w:rsidRDefault="006A7676" w:rsidP="00E24A49">
            <w:pPr>
              <w:jc w:val="center"/>
              <w:rPr>
                <w:rFonts w:ascii="Calibri" w:hAnsi="Calibri" w:cs="Calibri"/>
                <w:sz w:val="22"/>
                <w:szCs w:val="28"/>
              </w:rPr>
            </w:pPr>
            <w:r w:rsidRPr="006A7676">
              <w:rPr>
                <w:rFonts w:ascii="Calibri" w:hAnsi="Calibri" w:cs="Calibri"/>
                <w:sz w:val="22"/>
                <w:szCs w:val="28"/>
              </w:rPr>
              <w:t>Allows managers to submit and track employee inquiries and manpower requisitions, ensuring staffing requests are justified, documented, aligned with operational needs, and routed through proper approval workflows.</w:t>
            </w:r>
          </w:p>
        </w:tc>
      </w:tr>
      <w:tr w:rsidR="006A7676" w14:paraId="6C0F6153" w14:textId="77777777" w:rsidTr="00615700">
        <w:trPr>
          <w:trHeight w:val="2324"/>
        </w:trPr>
        <w:tc>
          <w:tcPr>
            <w:tcW w:w="3256" w:type="dxa"/>
            <w:vAlign w:val="center"/>
          </w:tcPr>
          <w:p w14:paraId="77DA6212" w14:textId="2CF938BD" w:rsidR="006A7676" w:rsidRDefault="006A7676" w:rsidP="00E24A49">
            <w:pPr>
              <w:jc w:val="center"/>
              <w:rPr>
                <w:noProof/>
              </w:rPr>
            </w:pPr>
            <w:r>
              <w:rPr>
                <w:noProof/>
              </w:rPr>
              <w:lastRenderedPageBreak/>
              <w:drawing>
                <wp:inline distT="0" distB="0" distL="0" distR="0" wp14:anchorId="7002761C" wp14:editId="755DD516">
                  <wp:extent cx="1080000" cy="1080000"/>
                  <wp:effectExtent l="0" t="0" r="6350" b="6350"/>
                  <wp:docPr id="16677623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FF1464D" w14:textId="77FEC6C8" w:rsidR="006A7676" w:rsidRPr="00DA12AE" w:rsidRDefault="006A7676" w:rsidP="00E24A49">
            <w:pPr>
              <w:jc w:val="center"/>
              <w:rPr>
                <w:rFonts w:ascii="Calibri" w:hAnsi="Calibri" w:cs="Calibri"/>
                <w:sz w:val="22"/>
                <w:szCs w:val="28"/>
              </w:rPr>
            </w:pPr>
            <w:r>
              <w:rPr>
                <w:rFonts w:ascii="Calibri" w:hAnsi="Calibri" w:cs="Calibri"/>
                <w:sz w:val="22"/>
                <w:szCs w:val="28"/>
              </w:rPr>
              <w:t>MANAGEMENT APPROVAL &amp; ENDORSEMENT</w:t>
            </w:r>
          </w:p>
        </w:tc>
        <w:tc>
          <w:tcPr>
            <w:tcW w:w="6253" w:type="dxa"/>
            <w:vAlign w:val="center"/>
          </w:tcPr>
          <w:p w14:paraId="3622B1E5" w14:textId="23B1C1A0" w:rsidR="006A7676" w:rsidRPr="00676F01" w:rsidRDefault="006A7676" w:rsidP="00E24A49">
            <w:pPr>
              <w:jc w:val="center"/>
              <w:rPr>
                <w:rFonts w:ascii="Calibri" w:hAnsi="Calibri" w:cs="Calibri"/>
                <w:sz w:val="22"/>
                <w:szCs w:val="28"/>
              </w:rPr>
            </w:pPr>
            <w:r w:rsidRPr="006A7676">
              <w:rPr>
                <w:rFonts w:ascii="Calibri" w:hAnsi="Calibri" w:cs="Calibri"/>
                <w:sz w:val="22"/>
                <w:szCs w:val="28"/>
              </w:rPr>
              <w:t>Provides managers with structured tools to review, approve, reject, or endorse HR-related requests, ensuring timely decisions, accountability, audit trails, and uninterrupted operational workflows across departments and organizational levels.</w:t>
            </w:r>
          </w:p>
        </w:tc>
      </w:tr>
    </w:tbl>
    <w:p w14:paraId="0F02C155" w14:textId="77777777" w:rsidR="00594BE2" w:rsidRDefault="00594BE2"/>
    <w:p w14:paraId="0C761886" w14:textId="47F608B7" w:rsidR="00594BE2" w:rsidRDefault="00594BE2"/>
    <w:p w14:paraId="129EC077" w14:textId="2AA7A133" w:rsidR="00066182" w:rsidRDefault="00066182"/>
    <w:p w14:paraId="3D432382" w14:textId="77777777" w:rsidR="009A13DB" w:rsidRDefault="009A13DB"/>
    <w:p w14:paraId="06DA9DCE" w14:textId="77777777" w:rsidR="009A13DB" w:rsidRDefault="009A13DB"/>
    <w:p w14:paraId="5B4CA790" w14:textId="1F4DF2EA" w:rsidR="009A13DB" w:rsidRDefault="009A13DB"/>
    <w:sectPr w:rsidR="009A13DB"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4D9"/>
    <w:rsid w:val="00011AA1"/>
    <w:rsid w:val="00066182"/>
    <w:rsid w:val="000D2725"/>
    <w:rsid w:val="001E2F93"/>
    <w:rsid w:val="002B280B"/>
    <w:rsid w:val="00300B47"/>
    <w:rsid w:val="00335EB9"/>
    <w:rsid w:val="0055225F"/>
    <w:rsid w:val="00594BE2"/>
    <w:rsid w:val="005B33AD"/>
    <w:rsid w:val="005D054B"/>
    <w:rsid w:val="005D7F05"/>
    <w:rsid w:val="005E1249"/>
    <w:rsid w:val="005F7A77"/>
    <w:rsid w:val="00615700"/>
    <w:rsid w:val="00676F01"/>
    <w:rsid w:val="006A56F4"/>
    <w:rsid w:val="006A7676"/>
    <w:rsid w:val="00705DCB"/>
    <w:rsid w:val="00711CA5"/>
    <w:rsid w:val="00712A3D"/>
    <w:rsid w:val="008103A8"/>
    <w:rsid w:val="008E568D"/>
    <w:rsid w:val="008E79E0"/>
    <w:rsid w:val="0091090A"/>
    <w:rsid w:val="009A13DB"/>
    <w:rsid w:val="009B5BEB"/>
    <w:rsid w:val="009D200F"/>
    <w:rsid w:val="009E67E9"/>
    <w:rsid w:val="009F01F3"/>
    <w:rsid w:val="00A23AEE"/>
    <w:rsid w:val="00C159AC"/>
    <w:rsid w:val="00D61CD4"/>
    <w:rsid w:val="00DA12AE"/>
    <w:rsid w:val="00DC0C88"/>
    <w:rsid w:val="00E24A49"/>
    <w:rsid w:val="00E559B5"/>
    <w:rsid w:val="00E83C8A"/>
    <w:rsid w:val="00EB3459"/>
    <w:rsid w:val="00F46CAD"/>
    <w:rsid w:val="00F53E6A"/>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320</Words>
  <Characters>2529</Characters>
  <Application>Microsoft Office Word</Application>
  <DocSecurity>0</DocSecurity>
  <Lines>229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2026-01-05T12:22:00Z</dcterms:created>
  <dcterms:modified xsi:type="dcterms:W3CDTF">2026-01-05T12:28:00Z</dcterms:modified>
</cp:coreProperties>
</file>