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256"/>
        <w:gridCol w:w="4380"/>
        <w:gridCol w:w="6253"/>
      </w:tblGrid>
      <w:tr w:rsidR="0091090A" w14:paraId="133F18C4" w14:textId="77777777" w:rsidTr="00DA12AE">
        <w:trPr>
          <w:trHeight w:val="285"/>
        </w:trPr>
        <w:tc>
          <w:tcPr>
            <w:tcW w:w="3256" w:type="dxa"/>
            <w:vAlign w:val="center"/>
          </w:tcPr>
          <w:p w14:paraId="4E510659" w14:textId="765EF592" w:rsidR="00E24A49" w:rsidRDefault="00E24A49" w:rsidP="00E24A49">
            <w:pPr>
              <w:jc w:val="center"/>
            </w:pPr>
            <w:r>
              <w:t>Picture</w:t>
            </w:r>
          </w:p>
        </w:tc>
        <w:tc>
          <w:tcPr>
            <w:tcW w:w="4380" w:type="dxa"/>
            <w:vAlign w:val="center"/>
          </w:tcPr>
          <w:p w14:paraId="156D75ED" w14:textId="67F4C696" w:rsidR="00E24A49" w:rsidRDefault="00E24A49" w:rsidP="00E24A49">
            <w:pPr>
              <w:jc w:val="center"/>
            </w:pPr>
            <w:r>
              <w:t>Name</w:t>
            </w:r>
          </w:p>
        </w:tc>
        <w:tc>
          <w:tcPr>
            <w:tcW w:w="6253" w:type="dxa"/>
            <w:vAlign w:val="center"/>
          </w:tcPr>
          <w:p w14:paraId="2351C6A9" w14:textId="28CE6E94" w:rsidR="00E24A49" w:rsidRDefault="00E24A49" w:rsidP="00E24A49">
            <w:pPr>
              <w:jc w:val="center"/>
            </w:pPr>
            <w:r>
              <w:t>Details</w:t>
            </w:r>
          </w:p>
        </w:tc>
      </w:tr>
      <w:tr w:rsidR="0091090A" w14:paraId="1B88B9EA" w14:textId="77777777" w:rsidTr="00615700">
        <w:trPr>
          <w:trHeight w:val="2324"/>
        </w:trPr>
        <w:tc>
          <w:tcPr>
            <w:tcW w:w="3256" w:type="dxa"/>
            <w:vAlign w:val="center"/>
          </w:tcPr>
          <w:p w14:paraId="2E934462" w14:textId="3C94BF03" w:rsidR="00E24A49" w:rsidRDefault="00705DCB" w:rsidP="00E24A49">
            <w:pPr>
              <w:jc w:val="center"/>
            </w:pPr>
            <w:r>
              <w:rPr>
                <w:noProof/>
              </w:rPr>
              <w:drawing>
                <wp:inline distT="0" distB="0" distL="0" distR="0" wp14:anchorId="3170BA6C" wp14:editId="2BD10BBB">
                  <wp:extent cx="1080000" cy="1080000"/>
                  <wp:effectExtent l="0" t="0" r="6350" b="6350"/>
                  <wp:docPr id="41578715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E7BDB21" w14:textId="77777777" w:rsidR="00E24A49" w:rsidRPr="00DA12AE" w:rsidRDefault="00E24A49" w:rsidP="00E24A49">
            <w:pPr>
              <w:jc w:val="center"/>
              <w:rPr>
                <w:rFonts w:ascii="Calibri" w:hAnsi="Calibri" w:cs="Calibri"/>
                <w:sz w:val="22"/>
                <w:szCs w:val="28"/>
              </w:rPr>
            </w:pPr>
            <w:r w:rsidRPr="00DA12AE">
              <w:rPr>
                <w:rFonts w:ascii="Calibri" w:hAnsi="Calibri" w:cs="Calibri"/>
                <w:sz w:val="22"/>
                <w:szCs w:val="28"/>
              </w:rPr>
              <w:t>Main :</w:t>
            </w:r>
          </w:p>
          <w:p w14:paraId="6AED64A8" w14:textId="77777777" w:rsidR="00E24A49" w:rsidRPr="00DA12AE" w:rsidRDefault="00E24A49" w:rsidP="00E24A49">
            <w:pPr>
              <w:jc w:val="center"/>
              <w:rPr>
                <w:rFonts w:ascii="Calibri" w:hAnsi="Calibri" w:cs="Calibri"/>
                <w:sz w:val="22"/>
                <w:szCs w:val="28"/>
              </w:rPr>
            </w:pPr>
          </w:p>
          <w:p w14:paraId="62B34156" w14:textId="7EB55542" w:rsidR="00E24A49" w:rsidRPr="00DA12AE" w:rsidRDefault="00705DCB" w:rsidP="00615700">
            <w:pPr>
              <w:jc w:val="center"/>
              <w:rPr>
                <w:rFonts w:ascii="Calibri" w:hAnsi="Calibri" w:cs="Calibri"/>
                <w:sz w:val="22"/>
                <w:szCs w:val="28"/>
              </w:rPr>
            </w:pPr>
            <w:r>
              <w:rPr>
                <w:rFonts w:ascii="Calibri" w:hAnsi="Calibri" w:cs="Calibri"/>
                <w:sz w:val="22"/>
                <w:szCs w:val="28"/>
              </w:rPr>
              <w:t>COMPLIANCE &amp; GOVERNANCE MANAGEMENT</w:t>
            </w:r>
          </w:p>
        </w:tc>
        <w:tc>
          <w:tcPr>
            <w:tcW w:w="6253" w:type="dxa"/>
            <w:vAlign w:val="center"/>
          </w:tcPr>
          <w:p w14:paraId="11DE6300" w14:textId="41792276" w:rsidR="00E24A49" w:rsidRPr="00DA12AE" w:rsidRDefault="00705DCB" w:rsidP="00E24A49">
            <w:pPr>
              <w:jc w:val="center"/>
              <w:rPr>
                <w:rFonts w:ascii="Calibri" w:hAnsi="Calibri" w:cs="Calibri"/>
                <w:sz w:val="22"/>
                <w:szCs w:val="28"/>
              </w:rPr>
            </w:pPr>
            <w:r w:rsidRPr="00705DCB">
              <w:rPr>
                <w:rFonts w:ascii="Calibri" w:hAnsi="Calibri" w:cs="Calibri"/>
                <w:sz w:val="22"/>
                <w:szCs w:val="28"/>
              </w:rPr>
              <w:t>Centralizes management of employee work permits, licenses, certifications, and compliance requirements, ensuring regulatory adherence, audit readiness, operational safety, and accurate recordkeeping while supporting timely renewals, risk mitigation, and governance across all organizational departments, roles, and locations.</w:t>
            </w:r>
          </w:p>
        </w:tc>
      </w:tr>
      <w:tr w:rsidR="00705DCB" w14:paraId="22273CA5" w14:textId="77777777" w:rsidTr="00615700">
        <w:trPr>
          <w:trHeight w:val="2324"/>
        </w:trPr>
        <w:tc>
          <w:tcPr>
            <w:tcW w:w="3256" w:type="dxa"/>
            <w:vAlign w:val="center"/>
          </w:tcPr>
          <w:p w14:paraId="7FA9ED07" w14:textId="2F853A40" w:rsidR="00705DCB" w:rsidRDefault="00705DCB" w:rsidP="00E24A49">
            <w:pPr>
              <w:jc w:val="center"/>
            </w:pPr>
            <w:r>
              <w:rPr>
                <w:noProof/>
              </w:rPr>
              <w:drawing>
                <wp:inline distT="0" distB="0" distL="0" distR="0" wp14:anchorId="25186798" wp14:editId="3E3C568C">
                  <wp:extent cx="1080000" cy="1080000"/>
                  <wp:effectExtent l="0" t="0" r="6350" b="6350"/>
                  <wp:docPr id="182403248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34F71975" w14:textId="4B160214" w:rsidR="00705DCB" w:rsidRPr="00DA12AE" w:rsidRDefault="00705DCB" w:rsidP="00E24A49">
            <w:pPr>
              <w:jc w:val="center"/>
              <w:rPr>
                <w:rFonts w:ascii="Calibri" w:hAnsi="Calibri" w:cs="Calibri"/>
                <w:sz w:val="22"/>
                <w:szCs w:val="28"/>
              </w:rPr>
            </w:pPr>
            <w:r>
              <w:rPr>
                <w:rFonts w:ascii="Calibri" w:hAnsi="Calibri" w:cs="Calibri"/>
                <w:sz w:val="22"/>
                <w:szCs w:val="28"/>
              </w:rPr>
              <w:t>WORK PERMIT &amp; VISA AUTHORIZATION</w:t>
            </w:r>
          </w:p>
        </w:tc>
        <w:tc>
          <w:tcPr>
            <w:tcW w:w="6253" w:type="dxa"/>
            <w:vAlign w:val="center"/>
          </w:tcPr>
          <w:p w14:paraId="06987759" w14:textId="58485F18" w:rsidR="00705DCB" w:rsidRPr="005D7F05" w:rsidRDefault="00705DCB" w:rsidP="00E24A49">
            <w:pPr>
              <w:jc w:val="center"/>
              <w:rPr>
                <w:rFonts w:ascii="Calibri" w:hAnsi="Calibri" w:cs="Calibri"/>
                <w:sz w:val="22"/>
                <w:szCs w:val="28"/>
              </w:rPr>
            </w:pPr>
            <w:r w:rsidRPr="00705DCB">
              <w:rPr>
                <w:rFonts w:ascii="Calibri" w:hAnsi="Calibri" w:cs="Calibri"/>
                <w:sz w:val="22"/>
                <w:szCs w:val="28"/>
              </w:rPr>
              <w:t>Tracks employee work permits, visas, and legal authorizations, including expiry dates and approvals, ensuring regulatory compliance, timely renewals, risk mitigation, audit readiness, and accurate recordkeeping for local and foreign employees across all company operations and subsidiaries.</w:t>
            </w:r>
          </w:p>
        </w:tc>
      </w:tr>
      <w:tr w:rsidR="00705DCB" w14:paraId="2C8D52B0" w14:textId="77777777" w:rsidTr="00615700">
        <w:trPr>
          <w:trHeight w:val="2324"/>
        </w:trPr>
        <w:tc>
          <w:tcPr>
            <w:tcW w:w="3256" w:type="dxa"/>
            <w:vAlign w:val="center"/>
          </w:tcPr>
          <w:p w14:paraId="2834DAA5" w14:textId="3877087E" w:rsidR="00705DCB" w:rsidRDefault="00705DCB" w:rsidP="00E24A49">
            <w:pPr>
              <w:jc w:val="center"/>
            </w:pPr>
            <w:r>
              <w:rPr>
                <w:noProof/>
              </w:rPr>
              <w:drawing>
                <wp:inline distT="0" distB="0" distL="0" distR="0" wp14:anchorId="498D8CD6" wp14:editId="27CEA929">
                  <wp:extent cx="1080000" cy="1080000"/>
                  <wp:effectExtent l="0" t="0" r="6350" b="6350"/>
                  <wp:docPr id="165891273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0EB4C5EF" w14:textId="7894383A" w:rsidR="00705DCB" w:rsidRPr="00DA12AE" w:rsidRDefault="00705DCB" w:rsidP="00E24A49">
            <w:pPr>
              <w:jc w:val="center"/>
              <w:rPr>
                <w:rFonts w:ascii="Calibri" w:hAnsi="Calibri" w:cs="Calibri"/>
                <w:sz w:val="22"/>
                <w:szCs w:val="28"/>
              </w:rPr>
            </w:pPr>
            <w:r>
              <w:rPr>
                <w:rFonts w:ascii="Calibri" w:hAnsi="Calibri" w:cs="Calibri"/>
                <w:sz w:val="22"/>
                <w:szCs w:val="28"/>
              </w:rPr>
              <w:t>SAFETY &amp; COMPLIANCE CERTIFICATIONS</w:t>
            </w:r>
          </w:p>
        </w:tc>
        <w:tc>
          <w:tcPr>
            <w:tcW w:w="6253" w:type="dxa"/>
            <w:vAlign w:val="center"/>
          </w:tcPr>
          <w:p w14:paraId="481A1B12" w14:textId="539BDA13" w:rsidR="00705DCB" w:rsidRPr="005D7F05" w:rsidRDefault="00705DCB" w:rsidP="00E24A49">
            <w:pPr>
              <w:jc w:val="center"/>
              <w:rPr>
                <w:rFonts w:ascii="Calibri" w:hAnsi="Calibri" w:cs="Calibri"/>
                <w:sz w:val="22"/>
                <w:szCs w:val="28"/>
              </w:rPr>
            </w:pPr>
            <w:r w:rsidRPr="00705DCB">
              <w:rPr>
                <w:rFonts w:ascii="Calibri" w:hAnsi="Calibri" w:cs="Calibri"/>
                <w:sz w:val="22"/>
                <w:szCs w:val="28"/>
              </w:rPr>
              <w:t>Manages employee safety training certifications, compliance courses, and mandatory regulatory requirements, providing reminders for expiry, reporting tools, and centralized access, ensuring workplace safety adherence, reduced risks, and compliance with internal policies and external regulatory standards.</w:t>
            </w:r>
          </w:p>
        </w:tc>
      </w:tr>
      <w:tr w:rsidR="00705DCB" w14:paraId="5A93B894" w14:textId="77777777" w:rsidTr="00615700">
        <w:trPr>
          <w:trHeight w:val="2324"/>
        </w:trPr>
        <w:tc>
          <w:tcPr>
            <w:tcW w:w="3256" w:type="dxa"/>
            <w:vAlign w:val="center"/>
          </w:tcPr>
          <w:p w14:paraId="133E5917" w14:textId="2409D7CA" w:rsidR="00705DCB" w:rsidRDefault="00705DCB" w:rsidP="00E24A49">
            <w:pPr>
              <w:jc w:val="center"/>
            </w:pPr>
            <w:r>
              <w:rPr>
                <w:noProof/>
              </w:rPr>
              <w:lastRenderedPageBreak/>
              <w:drawing>
                <wp:inline distT="0" distB="0" distL="0" distR="0" wp14:anchorId="28A82325" wp14:editId="7B6333FF">
                  <wp:extent cx="1080000" cy="1080000"/>
                  <wp:effectExtent l="0" t="0" r="6350" b="6350"/>
                  <wp:docPr id="18442345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9EC78A9" w14:textId="49EF2191" w:rsidR="00705DCB" w:rsidRPr="00DA12AE" w:rsidRDefault="00705DCB" w:rsidP="00E24A49">
            <w:pPr>
              <w:jc w:val="center"/>
              <w:rPr>
                <w:rFonts w:ascii="Calibri" w:hAnsi="Calibri" w:cs="Calibri"/>
                <w:sz w:val="22"/>
                <w:szCs w:val="28"/>
              </w:rPr>
            </w:pPr>
            <w:r>
              <w:rPr>
                <w:rFonts w:ascii="Calibri" w:hAnsi="Calibri" w:cs="Calibri"/>
                <w:sz w:val="22"/>
                <w:szCs w:val="28"/>
              </w:rPr>
              <w:t>ENGINEERING RELATED LICENSES</w:t>
            </w:r>
          </w:p>
        </w:tc>
        <w:tc>
          <w:tcPr>
            <w:tcW w:w="6253" w:type="dxa"/>
            <w:vAlign w:val="center"/>
          </w:tcPr>
          <w:p w14:paraId="5FDDC9CD" w14:textId="25ACA4E9" w:rsidR="00705DCB" w:rsidRPr="005D7F05" w:rsidRDefault="00705DCB" w:rsidP="00E24A49">
            <w:pPr>
              <w:jc w:val="center"/>
              <w:rPr>
                <w:rFonts w:ascii="Calibri" w:hAnsi="Calibri" w:cs="Calibri"/>
                <w:sz w:val="22"/>
                <w:szCs w:val="28"/>
              </w:rPr>
            </w:pPr>
            <w:r w:rsidRPr="00705DCB">
              <w:rPr>
                <w:rFonts w:ascii="Calibri" w:hAnsi="Calibri" w:cs="Calibri"/>
                <w:sz w:val="22"/>
                <w:szCs w:val="28"/>
              </w:rPr>
              <w:t>Maintains records of engineering licenses, professional certifications, and technical authorizations, tracking validity, renewal schedules, and compliance with statutory and industry standards, supporting operational safety, audit readiness, and accountability for engineering personnel and departmental operations.</w:t>
            </w:r>
          </w:p>
        </w:tc>
      </w:tr>
      <w:tr w:rsidR="00705DCB" w14:paraId="286F3FA0" w14:textId="77777777" w:rsidTr="00615700">
        <w:trPr>
          <w:trHeight w:val="2324"/>
        </w:trPr>
        <w:tc>
          <w:tcPr>
            <w:tcW w:w="3256" w:type="dxa"/>
            <w:vAlign w:val="center"/>
          </w:tcPr>
          <w:p w14:paraId="11EA45CC" w14:textId="267EDD15" w:rsidR="00705DCB" w:rsidRDefault="00705DCB" w:rsidP="00E24A49">
            <w:pPr>
              <w:jc w:val="center"/>
              <w:rPr>
                <w:noProof/>
              </w:rPr>
            </w:pPr>
            <w:r>
              <w:rPr>
                <w:noProof/>
              </w:rPr>
              <w:drawing>
                <wp:inline distT="0" distB="0" distL="0" distR="0" wp14:anchorId="6BF446F8" wp14:editId="57268257">
                  <wp:extent cx="1080000" cy="1080000"/>
                  <wp:effectExtent l="0" t="0" r="6350" b="6350"/>
                  <wp:docPr id="192973305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6384639F" w14:textId="77F1F7B8" w:rsidR="00705DCB" w:rsidRPr="00DA12AE" w:rsidRDefault="00705DCB" w:rsidP="00E24A49">
            <w:pPr>
              <w:jc w:val="center"/>
              <w:rPr>
                <w:rFonts w:ascii="Calibri" w:hAnsi="Calibri" w:cs="Calibri"/>
                <w:sz w:val="22"/>
                <w:szCs w:val="28"/>
              </w:rPr>
            </w:pPr>
            <w:r>
              <w:rPr>
                <w:rFonts w:ascii="Calibri" w:hAnsi="Calibri" w:cs="Calibri"/>
                <w:sz w:val="22"/>
                <w:szCs w:val="28"/>
              </w:rPr>
              <w:t>MACHINERY &amp; HEAVY EQUIPMENT LICENSES</w:t>
            </w:r>
          </w:p>
        </w:tc>
        <w:tc>
          <w:tcPr>
            <w:tcW w:w="6253" w:type="dxa"/>
            <w:vAlign w:val="center"/>
          </w:tcPr>
          <w:p w14:paraId="68EEB3A9" w14:textId="2048AF7B" w:rsidR="00705DCB" w:rsidRPr="005D7F05" w:rsidRDefault="00705DCB" w:rsidP="00E24A49">
            <w:pPr>
              <w:jc w:val="center"/>
              <w:rPr>
                <w:rFonts w:ascii="Calibri" w:hAnsi="Calibri" w:cs="Calibri"/>
                <w:sz w:val="22"/>
                <w:szCs w:val="28"/>
              </w:rPr>
            </w:pPr>
            <w:r w:rsidRPr="00705DCB">
              <w:rPr>
                <w:rFonts w:ascii="Calibri" w:hAnsi="Calibri" w:cs="Calibri"/>
                <w:sz w:val="22"/>
                <w:szCs w:val="28"/>
              </w:rPr>
              <w:t>Tracks licenses, permits, and certifications for operating machinery and heavy equipment, ensuring that employees meet safety standards, legal requirements, and company policies while reducing operational risks, supporting compliance audits, and improving safety governance.</w:t>
            </w:r>
          </w:p>
        </w:tc>
      </w:tr>
      <w:tr w:rsidR="00705DCB" w14:paraId="1621F7C6" w14:textId="77777777" w:rsidTr="00615700">
        <w:trPr>
          <w:trHeight w:val="2324"/>
        </w:trPr>
        <w:tc>
          <w:tcPr>
            <w:tcW w:w="3256" w:type="dxa"/>
            <w:vAlign w:val="center"/>
          </w:tcPr>
          <w:p w14:paraId="4EE89FD0" w14:textId="6DC65ECE" w:rsidR="00705DCB" w:rsidRDefault="00705DCB" w:rsidP="00E24A49">
            <w:pPr>
              <w:jc w:val="center"/>
              <w:rPr>
                <w:noProof/>
              </w:rPr>
            </w:pPr>
            <w:r>
              <w:rPr>
                <w:noProof/>
              </w:rPr>
              <w:drawing>
                <wp:inline distT="0" distB="0" distL="0" distR="0" wp14:anchorId="6AC21CD5" wp14:editId="14B0A13E">
                  <wp:extent cx="1080000" cy="1080000"/>
                  <wp:effectExtent l="0" t="0" r="6350" b="6350"/>
                  <wp:docPr id="732143155"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4D47BB5D" w14:textId="74CFCB82" w:rsidR="00705DCB" w:rsidRPr="00DA12AE" w:rsidRDefault="00705DCB" w:rsidP="00E24A49">
            <w:pPr>
              <w:jc w:val="center"/>
              <w:rPr>
                <w:rFonts w:ascii="Calibri" w:hAnsi="Calibri" w:cs="Calibri"/>
                <w:sz w:val="22"/>
                <w:szCs w:val="28"/>
              </w:rPr>
            </w:pPr>
            <w:r>
              <w:rPr>
                <w:rFonts w:ascii="Calibri" w:hAnsi="Calibri" w:cs="Calibri"/>
                <w:sz w:val="22"/>
                <w:szCs w:val="28"/>
              </w:rPr>
              <w:t>AVIATION LICENSING CERTIFICATION</w:t>
            </w:r>
          </w:p>
        </w:tc>
        <w:tc>
          <w:tcPr>
            <w:tcW w:w="6253" w:type="dxa"/>
            <w:vAlign w:val="center"/>
          </w:tcPr>
          <w:p w14:paraId="53EBBF97" w14:textId="109B02D1" w:rsidR="00705DCB" w:rsidRPr="005D7F05" w:rsidRDefault="00705DCB" w:rsidP="00E24A49">
            <w:pPr>
              <w:jc w:val="center"/>
              <w:rPr>
                <w:rFonts w:ascii="Calibri" w:hAnsi="Calibri" w:cs="Calibri"/>
                <w:sz w:val="22"/>
                <w:szCs w:val="28"/>
              </w:rPr>
            </w:pPr>
            <w:r w:rsidRPr="00705DCB">
              <w:rPr>
                <w:rFonts w:ascii="Calibri" w:hAnsi="Calibri" w:cs="Calibri"/>
                <w:sz w:val="22"/>
                <w:szCs w:val="28"/>
              </w:rPr>
              <w:t>Manages aviation-specific licenses and certifications for pilots, technicians, and aviation staff, including renewal tracking and compliance monitoring, ensuring adherence to regulatory authorities, safety standards, and operational governance within aviation operations.</w:t>
            </w:r>
          </w:p>
        </w:tc>
      </w:tr>
      <w:tr w:rsidR="00705DCB" w14:paraId="45989E47" w14:textId="77777777" w:rsidTr="00615700">
        <w:trPr>
          <w:trHeight w:val="2324"/>
        </w:trPr>
        <w:tc>
          <w:tcPr>
            <w:tcW w:w="3256" w:type="dxa"/>
            <w:vAlign w:val="center"/>
          </w:tcPr>
          <w:p w14:paraId="510CA9BD" w14:textId="102F2AC2" w:rsidR="00705DCB" w:rsidRDefault="00705DCB" w:rsidP="00E24A49">
            <w:pPr>
              <w:jc w:val="center"/>
              <w:rPr>
                <w:noProof/>
              </w:rPr>
            </w:pPr>
            <w:r>
              <w:rPr>
                <w:noProof/>
              </w:rPr>
              <w:lastRenderedPageBreak/>
              <w:drawing>
                <wp:inline distT="0" distB="0" distL="0" distR="0" wp14:anchorId="7C880F5E" wp14:editId="0E70B3DB">
                  <wp:extent cx="1080000" cy="1080000"/>
                  <wp:effectExtent l="0" t="0" r="6350" b="6350"/>
                  <wp:docPr id="210838094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6DD899E4" w14:textId="464C5BE9" w:rsidR="00705DCB" w:rsidRPr="00DA12AE" w:rsidRDefault="00705DCB" w:rsidP="00E24A49">
            <w:pPr>
              <w:jc w:val="center"/>
              <w:rPr>
                <w:rFonts w:ascii="Calibri" w:hAnsi="Calibri" w:cs="Calibri"/>
                <w:sz w:val="22"/>
                <w:szCs w:val="28"/>
              </w:rPr>
            </w:pPr>
            <w:r>
              <w:rPr>
                <w:rFonts w:ascii="Calibri" w:hAnsi="Calibri" w:cs="Calibri"/>
                <w:sz w:val="22"/>
                <w:szCs w:val="28"/>
              </w:rPr>
              <w:t>CIVIL CERTIFICATION &amp; LICENSES</w:t>
            </w:r>
          </w:p>
        </w:tc>
        <w:tc>
          <w:tcPr>
            <w:tcW w:w="6253" w:type="dxa"/>
            <w:vAlign w:val="center"/>
          </w:tcPr>
          <w:p w14:paraId="29949EB0" w14:textId="6062AC79" w:rsidR="00705DCB" w:rsidRPr="005D7F05" w:rsidRDefault="00705DCB" w:rsidP="00E24A49">
            <w:pPr>
              <w:jc w:val="center"/>
              <w:rPr>
                <w:rFonts w:ascii="Calibri" w:hAnsi="Calibri" w:cs="Calibri"/>
                <w:sz w:val="22"/>
                <w:szCs w:val="28"/>
              </w:rPr>
            </w:pPr>
            <w:r w:rsidRPr="00705DCB">
              <w:rPr>
                <w:rFonts w:ascii="Calibri" w:hAnsi="Calibri" w:cs="Calibri"/>
                <w:sz w:val="22"/>
                <w:szCs w:val="28"/>
              </w:rPr>
              <w:t>Maintains civil engineering certifications, construction permits, and related licenses, ensuring employees and contractors comply with legal standards, safety regulations, and professional requirements while supporting audit readiness, operational governance, and workforce accountability.</w:t>
            </w:r>
          </w:p>
        </w:tc>
      </w:tr>
      <w:tr w:rsidR="00705DCB" w14:paraId="3871243F" w14:textId="77777777" w:rsidTr="00615700">
        <w:trPr>
          <w:trHeight w:val="2324"/>
        </w:trPr>
        <w:tc>
          <w:tcPr>
            <w:tcW w:w="3256" w:type="dxa"/>
            <w:vAlign w:val="center"/>
          </w:tcPr>
          <w:p w14:paraId="4BE69260" w14:textId="241C3547" w:rsidR="00705DCB" w:rsidRDefault="00705DCB" w:rsidP="00E24A49">
            <w:pPr>
              <w:jc w:val="center"/>
              <w:rPr>
                <w:noProof/>
              </w:rPr>
            </w:pPr>
            <w:r>
              <w:rPr>
                <w:noProof/>
              </w:rPr>
              <w:drawing>
                <wp:inline distT="0" distB="0" distL="0" distR="0" wp14:anchorId="6934A933" wp14:editId="0FA029CF">
                  <wp:extent cx="1080000" cy="1080000"/>
                  <wp:effectExtent l="0" t="0" r="6350" b="6350"/>
                  <wp:docPr id="860944233"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678A479C" w14:textId="076F510A" w:rsidR="00705DCB" w:rsidRPr="00DA12AE" w:rsidRDefault="00705DCB" w:rsidP="00E24A49">
            <w:pPr>
              <w:jc w:val="center"/>
              <w:rPr>
                <w:rFonts w:ascii="Calibri" w:hAnsi="Calibri" w:cs="Calibri"/>
                <w:sz w:val="22"/>
                <w:szCs w:val="28"/>
              </w:rPr>
            </w:pPr>
            <w:r>
              <w:rPr>
                <w:rFonts w:ascii="Calibri" w:hAnsi="Calibri" w:cs="Calibri"/>
                <w:sz w:val="22"/>
                <w:szCs w:val="28"/>
              </w:rPr>
              <w:t>DRIVING LICENSES &amp; CERTIFICATION</w:t>
            </w:r>
          </w:p>
        </w:tc>
        <w:tc>
          <w:tcPr>
            <w:tcW w:w="6253" w:type="dxa"/>
            <w:vAlign w:val="center"/>
          </w:tcPr>
          <w:p w14:paraId="3EEA2A9A" w14:textId="75210A97" w:rsidR="00705DCB" w:rsidRPr="005D7F05" w:rsidRDefault="00705DCB" w:rsidP="00E24A49">
            <w:pPr>
              <w:jc w:val="center"/>
              <w:rPr>
                <w:rFonts w:ascii="Calibri" w:hAnsi="Calibri" w:cs="Calibri"/>
                <w:sz w:val="22"/>
                <w:szCs w:val="28"/>
              </w:rPr>
            </w:pPr>
            <w:r w:rsidRPr="00705DCB">
              <w:rPr>
                <w:rFonts w:ascii="Calibri" w:hAnsi="Calibri" w:cs="Calibri"/>
                <w:sz w:val="22"/>
                <w:szCs w:val="28"/>
              </w:rPr>
              <w:t>Tracks employee driving licenses, endorsements, and related certifications, monitoring validity and renewal reminders, ensuring compliance with traffic laws, internal safety policies, and operational requirements while mitigating liability and maintaining proper recordkeeping.</w:t>
            </w:r>
          </w:p>
        </w:tc>
      </w:tr>
    </w:tbl>
    <w:p w14:paraId="49B75004" w14:textId="2113F5C8" w:rsidR="008103A8" w:rsidRDefault="008103A8"/>
    <w:p w14:paraId="3710E3A1" w14:textId="7DF6C3D8" w:rsidR="00DC0C88" w:rsidRDefault="00DC0C88"/>
    <w:sectPr w:rsidR="00DC0C88" w:rsidSect="00DA12A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49"/>
    <w:rsid w:val="00011AA1"/>
    <w:rsid w:val="000D2725"/>
    <w:rsid w:val="002B280B"/>
    <w:rsid w:val="00335EB9"/>
    <w:rsid w:val="0055225F"/>
    <w:rsid w:val="005B33AD"/>
    <w:rsid w:val="005D054B"/>
    <w:rsid w:val="005D7F05"/>
    <w:rsid w:val="005F7A77"/>
    <w:rsid w:val="00615700"/>
    <w:rsid w:val="006A56F4"/>
    <w:rsid w:val="00705DCB"/>
    <w:rsid w:val="00712A3D"/>
    <w:rsid w:val="008103A8"/>
    <w:rsid w:val="0091090A"/>
    <w:rsid w:val="009B5BEB"/>
    <w:rsid w:val="009D200F"/>
    <w:rsid w:val="009F01F3"/>
    <w:rsid w:val="00A23AEE"/>
    <w:rsid w:val="00D61CD4"/>
    <w:rsid w:val="00DA12AE"/>
    <w:rsid w:val="00DC0C88"/>
    <w:rsid w:val="00E24A49"/>
    <w:rsid w:val="00EB3459"/>
    <w:rsid w:val="00FC635D"/>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4E2E"/>
  <w15:chartTrackingRefBased/>
  <w15:docId w15:val="{4565DFFA-BD44-4744-A2AF-0139960F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MY"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A4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24A4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24A4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24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A4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24A4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24A4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24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A49"/>
    <w:rPr>
      <w:rFonts w:eastAsiaTheme="majorEastAsia" w:cstheme="majorBidi"/>
      <w:color w:val="272727" w:themeColor="text1" w:themeTint="D8"/>
    </w:rPr>
  </w:style>
  <w:style w:type="paragraph" w:styleId="Title">
    <w:name w:val="Title"/>
    <w:basedOn w:val="Normal"/>
    <w:next w:val="Normal"/>
    <w:link w:val="TitleChar"/>
    <w:uiPriority w:val="10"/>
    <w:qFormat/>
    <w:rsid w:val="00E24A4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24A4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24A4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24A4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24A49"/>
    <w:pPr>
      <w:spacing w:before="160"/>
      <w:jc w:val="center"/>
    </w:pPr>
    <w:rPr>
      <w:i/>
      <w:iCs/>
      <w:color w:val="404040" w:themeColor="text1" w:themeTint="BF"/>
    </w:rPr>
  </w:style>
  <w:style w:type="character" w:customStyle="1" w:styleId="QuoteChar">
    <w:name w:val="Quote Char"/>
    <w:basedOn w:val="DefaultParagraphFont"/>
    <w:link w:val="Quote"/>
    <w:uiPriority w:val="29"/>
    <w:rsid w:val="00E24A49"/>
    <w:rPr>
      <w:i/>
      <w:iCs/>
      <w:color w:val="404040" w:themeColor="text1" w:themeTint="BF"/>
    </w:rPr>
  </w:style>
  <w:style w:type="paragraph" w:styleId="ListParagraph">
    <w:name w:val="List Paragraph"/>
    <w:basedOn w:val="Normal"/>
    <w:uiPriority w:val="34"/>
    <w:qFormat/>
    <w:rsid w:val="00E24A49"/>
    <w:pPr>
      <w:ind w:left="720"/>
      <w:contextualSpacing/>
    </w:pPr>
  </w:style>
  <w:style w:type="character" w:styleId="IntenseEmphasis">
    <w:name w:val="Intense Emphasis"/>
    <w:basedOn w:val="DefaultParagraphFont"/>
    <w:uiPriority w:val="21"/>
    <w:qFormat/>
    <w:rsid w:val="00E24A49"/>
    <w:rPr>
      <w:i/>
      <w:iCs/>
      <w:color w:val="0F4761" w:themeColor="accent1" w:themeShade="BF"/>
    </w:rPr>
  </w:style>
  <w:style w:type="paragraph" w:styleId="IntenseQuote">
    <w:name w:val="Intense Quote"/>
    <w:basedOn w:val="Normal"/>
    <w:next w:val="Normal"/>
    <w:link w:val="IntenseQuoteChar"/>
    <w:uiPriority w:val="30"/>
    <w:qFormat/>
    <w:rsid w:val="00E24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A49"/>
    <w:rPr>
      <w:i/>
      <w:iCs/>
      <w:color w:val="0F4761" w:themeColor="accent1" w:themeShade="BF"/>
    </w:rPr>
  </w:style>
  <w:style w:type="character" w:styleId="IntenseReference">
    <w:name w:val="Intense Reference"/>
    <w:basedOn w:val="DefaultParagraphFont"/>
    <w:uiPriority w:val="32"/>
    <w:qFormat/>
    <w:rsid w:val="00E24A49"/>
    <w:rPr>
      <w:b/>
      <w:bCs/>
      <w:smallCaps/>
      <w:color w:val="0F4761" w:themeColor="accent1" w:themeShade="BF"/>
      <w:spacing w:val="5"/>
    </w:rPr>
  </w:style>
  <w:style w:type="table" w:styleId="TableGrid">
    <w:name w:val="Table Grid"/>
    <w:basedOn w:val="TableNormal"/>
    <w:uiPriority w:val="39"/>
    <w:rsid w:val="00E24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411</Words>
  <Characters>2265</Characters>
  <Application>Microsoft Office Word</Application>
  <DocSecurity>0</DocSecurity>
  <Lines>755</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Azli Bharudin</dc:creator>
  <cp:keywords/>
  <dc:description/>
  <cp:lastModifiedBy>Mohd Azli Bharudin</cp:lastModifiedBy>
  <cp:revision>3</cp:revision>
  <dcterms:created xsi:type="dcterms:W3CDTF">2026-01-05T07:08:00Z</dcterms:created>
  <dcterms:modified xsi:type="dcterms:W3CDTF">2026-01-05T07:15:00Z</dcterms:modified>
</cp:coreProperties>
</file>